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Individuálna výročná správa</w:t>
      </w: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Obce Hričovské Podhradie</w:t>
      </w: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</w:p>
    <w:p w:rsidR="008C3C29" w:rsidRPr="008C3C29" w:rsidRDefault="000C67FF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</w:pPr>
      <w:r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za rok 201</w:t>
      </w:r>
      <w:r w:rsidR="00153A04">
        <w:rPr>
          <w:rFonts w:ascii="Times New Roman" w:eastAsia="Times New Roman" w:hAnsi="Times New Roman" w:cs="Times New Roman"/>
          <w:b/>
          <w:sz w:val="52"/>
          <w:szCs w:val="52"/>
          <w:lang w:eastAsia="sk-SK"/>
        </w:rPr>
        <w:t>6</w:t>
      </w: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 xml:space="preserve">                                     ............................</w:t>
      </w: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44"/>
          <w:szCs w:val="44"/>
          <w:lang w:eastAsia="sk-SK"/>
        </w:rPr>
        <w:tab/>
        <w:t xml:space="preserve">Jarmila Dobroňová - </w:t>
      </w:r>
      <w:r w:rsidRPr="008C3C29"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  <w:t>starostka obce</w:t>
      </w: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OBSAH</w:t>
      </w:r>
      <w:r w:rsidRPr="008C037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  <w:t>str.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1. Základná charakteristika obce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1.1   </w:t>
      </w:r>
      <w:r w:rsidR="006F198B">
        <w:rPr>
          <w:rFonts w:ascii="Times New Roman" w:eastAsia="Times New Roman" w:hAnsi="Times New Roman" w:cs="Times New Roman"/>
          <w:sz w:val="24"/>
          <w:szCs w:val="24"/>
          <w:lang w:eastAsia="sk-SK"/>
        </w:rPr>
        <w:t>Úvodné slovo starostky obce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1.2   </w:t>
      </w:r>
      <w:r w:rsidR="006F198B">
        <w:rPr>
          <w:rFonts w:ascii="Times New Roman" w:eastAsia="Times New Roman" w:hAnsi="Times New Roman" w:cs="Times New Roman"/>
          <w:sz w:val="24"/>
          <w:szCs w:val="24"/>
          <w:lang w:eastAsia="sk-SK"/>
        </w:rPr>
        <w:t>Geografické a d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emografické údaje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1.3   Ekonomické údaje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1.4   Symboly obce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3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1.5   História obce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1.6   Cestovný ruch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5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1.7  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Výchova a vzdelávanie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6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1.8 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F19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Zdravotníctvo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6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1.9 </w:t>
      </w:r>
      <w:r w:rsidR="006F198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Kultúra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6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1.10 Hospodárstvo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7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1.11 Organizačná štruktúra obce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7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2. Rozpočet obce na rok 201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jeho plnenie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1F2965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2.1 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príjmov  a čerpanie výdavkov za rok 201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</w:t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</w:t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8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2.2 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Rozpočet na roky 201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BA3AC0">
        <w:rPr>
          <w:rFonts w:ascii="Times New Roman" w:eastAsia="Times New Roman" w:hAnsi="Times New Roman" w:cs="Times New Roman"/>
          <w:sz w:val="24"/>
          <w:szCs w:val="24"/>
          <w:lang w:eastAsia="sk-SK"/>
        </w:rPr>
        <w:t>-201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</w:t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8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3. Informácie o vývoji obce z pohľadu účtovníctva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3.1 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Majetok                                                                                               </w:t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9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3.2 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Zdroje krytia                                                                                             </w:t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</w:t>
      </w:r>
      <w:r w:rsidR="00817CA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10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4. Vývoj pohľadávok a záväzkov v celých €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4.1   Pohľadávky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4.2   Záväzky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10</w:t>
      </w:r>
    </w:p>
    <w:p w:rsidR="008C3C29" w:rsidRPr="008C0371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5. Hospodársky výsledok 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10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>6. Ostatné dôležité informácie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 w:rsidR="00817CA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6.1   Prijaté granty a transfery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 w:rsidR="00817CA4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6.2   Poskytnuté dotácie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12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6.3   Významné investičné akcie v roku 201</w:t>
      </w:r>
      <w:r w:rsidR="00153A04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12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6.4   Predpokladaný budúci vývoj činnosti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 w:rsidR="00817CA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:rsidR="008C3C29" w:rsidRPr="008C0371" w:rsidRDefault="008C3C29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6.5   Udalosti osobitného významu po skončení účtovného obdobia</w:t>
      </w:r>
      <w:r w:rsidRPr="008C0371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>1</w:t>
      </w:r>
      <w:r w:rsidR="00817CA4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</w:p>
    <w:p w:rsidR="008C3C29" w:rsidRPr="008C0371" w:rsidRDefault="00370764" w:rsidP="008C3C29">
      <w:pPr>
        <w:tabs>
          <w:tab w:val="right" w:pos="88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6.6   Významné riziká a neistoty, ktorým je účtovná jednotka vystavená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="000F631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13</w:t>
      </w:r>
    </w:p>
    <w:p w:rsidR="008C3C29" w:rsidRPr="00AF34A1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</w:pPr>
    </w:p>
    <w:p w:rsidR="008C3C29" w:rsidRPr="00AF34A1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</w:pPr>
    </w:p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1. Základná charakteristika Obce Hričovské Podhradie </w:t>
      </w:r>
    </w:p>
    <w:p w:rsidR="008C3C29" w:rsidRPr="008C3C29" w:rsidRDefault="006F198B" w:rsidP="006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je samostatný územný samosprávny a správny celok Slovenskej republiky. Obec je právnickou osobou, ktorá za podmienok ustanovených zákonom samostatne hospodári s vlastným majetkom a s vlastnými príjmami. Základnou úlohou obce pri výkone samosprávy je starostlivosť o všestranný rozvoj jej územia a o potreby jej obyvateľov.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9590C" w:rsidRPr="008C3C29" w:rsidRDefault="0049590C" w:rsidP="0049590C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Úvodné slovo starostky obce</w:t>
      </w:r>
    </w:p>
    <w:p w:rsidR="0049590C" w:rsidRPr="008C3C29" w:rsidRDefault="0049590C" w:rsidP="00495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9590C" w:rsidRPr="005360E2" w:rsidRDefault="006F198B" w:rsidP="00495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9590C" w:rsidRPr="005360E2">
        <w:rPr>
          <w:rFonts w:ascii="Times New Roman" w:hAnsi="Times New Roman" w:cs="Times New Roman"/>
          <w:sz w:val="24"/>
          <w:szCs w:val="24"/>
        </w:rPr>
        <w:t>Starostkou obce Hričovské Podhradie som od roku 2006, pred zvolením som pracovala ako pracovníčka obecného úradu Hričovské Podhradie od roku 1993. Individuálna výročná správa Obce Hričovské Podhradie za rok 201</w:t>
      </w:r>
      <w:r w:rsidR="00153A04">
        <w:rPr>
          <w:rFonts w:ascii="Times New Roman" w:hAnsi="Times New Roman" w:cs="Times New Roman"/>
          <w:sz w:val="24"/>
          <w:szCs w:val="24"/>
        </w:rPr>
        <w:t>6</w:t>
      </w:r>
      <w:r w:rsidR="0049590C" w:rsidRPr="005360E2">
        <w:rPr>
          <w:rFonts w:ascii="Times New Roman" w:hAnsi="Times New Roman" w:cs="Times New Roman"/>
          <w:sz w:val="24"/>
          <w:szCs w:val="24"/>
        </w:rPr>
        <w:t xml:space="preserve"> je zostavená na základe výsledkov ekonomických ukazovateľov, počas celého roku 201</w:t>
      </w:r>
      <w:r w:rsidR="00153A04">
        <w:rPr>
          <w:rFonts w:ascii="Times New Roman" w:hAnsi="Times New Roman" w:cs="Times New Roman"/>
          <w:sz w:val="24"/>
          <w:szCs w:val="24"/>
        </w:rPr>
        <w:t>6</w:t>
      </w:r>
      <w:r w:rsidR="0049590C" w:rsidRPr="005360E2">
        <w:rPr>
          <w:rFonts w:ascii="Times New Roman" w:hAnsi="Times New Roman" w:cs="Times New Roman"/>
          <w:sz w:val="24"/>
          <w:szCs w:val="24"/>
        </w:rPr>
        <w:t xml:space="preserve">. </w:t>
      </w:r>
      <w:r w:rsidR="00153A04">
        <w:rPr>
          <w:rFonts w:ascii="Times New Roman" w:hAnsi="Times New Roman" w:cs="Times New Roman"/>
          <w:sz w:val="24"/>
          <w:szCs w:val="24"/>
        </w:rPr>
        <w:t xml:space="preserve">V roku </w:t>
      </w:r>
      <w:r w:rsidR="0049590C" w:rsidRPr="005360E2">
        <w:rPr>
          <w:rFonts w:ascii="Times New Roman" w:hAnsi="Times New Roman" w:cs="Times New Roman"/>
          <w:sz w:val="24"/>
          <w:szCs w:val="24"/>
        </w:rPr>
        <w:t>201</w:t>
      </w:r>
      <w:r w:rsidR="00153A04">
        <w:rPr>
          <w:rFonts w:ascii="Times New Roman" w:hAnsi="Times New Roman" w:cs="Times New Roman"/>
          <w:sz w:val="24"/>
          <w:szCs w:val="24"/>
        </w:rPr>
        <w:t>6</w:t>
      </w:r>
      <w:r w:rsidR="0049590C" w:rsidRPr="005360E2">
        <w:rPr>
          <w:rFonts w:ascii="Times New Roman" w:hAnsi="Times New Roman" w:cs="Times New Roman"/>
          <w:sz w:val="24"/>
          <w:szCs w:val="24"/>
        </w:rPr>
        <w:t xml:space="preserve"> </w:t>
      </w:r>
      <w:r w:rsidR="00153A04">
        <w:rPr>
          <w:rFonts w:ascii="Times New Roman" w:hAnsi="Times New Roman" w:cs="Times New Roman"/>
          <w:sz w:val="24"/>
          <w:szCs w:val="24"/>
        </w:rPr>
        <w:t>sme sa zamerali najmä na splácanie bankového úveru</w:t>
      </w:r>
      <w:r w:rsidR="00BC7ADA">
        <w:rPr>
          <w:rFonts w:ascii="Times New Roman" w:hAnsi="Times New Roman" w:cs="Times New Roman"/>
          <w:sz w:val="24"/>
          <w:szCs w:val="24"/>
        </w:rPr>
        <w:t>,</w:t>
      </w:r>
      <w:r w:rsidR="00153A04">
        <w:rPr>
          <w:rFonts w:ascii="Times New Roman" w:hAnsi="Times New Roman" w:cs="Times New Roman"/>
          <w:sz w:val="24"/>
          <w:szCs w:val="24"/>
        </w:rPr>
        <w:t xml:space="preserve"> zrealizovali</w:t>
      </w:r>
      <w:r w:rsidR="00BC7ADA">
        <w:rPr>
          <w:rFonts w:ascii="Times New Roman" w:hAnsi="Times New Roman" w:cs="Times New Roman"/>
          <w:sz w:val="24"/>
          <w:szCs w:val="24"/>
        </w:rPr>
        <w:t xml:space="preserve"> sme</w:t>
      </w:r>
      <w:r w:rsidR="00153A04">
        <w:rPr>
          <w:rFonts w:ascii="Times New Roman" w:hAnsi="Times New Roman" w:cs="Times New Roman"/>
          <w:sz w:val="24"/>
          <w:szCs w:val="24"/>
        </w:rPr>
        <w:t xml:space="preserve"> vymaľovanie priestorov materskej školy a kaplnky. </w:t>
      </w:r>
      <w:r w:rsidR="0049590C" w:rsidRPr="005360E2">
        <w:rPr>
          <w:rFonts w:ascii="Times New Roman" w:hAnsi="Times New Roman" w:cs="Times New Roman"/>
          <w:sz w:val="24"/>
          <w:szCs w:val="24"/>
        </w:rPr>
        <w:t xml:space="preserve">Obec sa zameriavala hlavne na plnenie zákonom daných povinností obce s cieľom vychádzať v ústrety požiadavkám občanov obce a organizácií sídliacich v obci, konanie akcií pre občanov hlavne za účelom dobrého spolunažívania občanov v rámci obce. 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49590C" w:rsidP="008C3C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Geografické a d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emografické údaje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49590C" w:rsidRPr="008C3C29" w:rsidRDefault="006F198B" w:rsidP="004959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Hričovské Podhradie leží v Strážovských vrchoch v doline </w:t>
      </w:r>
      <w:proofErr w:type="spellStart"/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Závadského</w:t>
      </w:r>
      <w:proofErr w:type="spellEnd"/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potoka v severozápadnej časti Slovenskej republiky, </w:t>
      </w:r>
      <w:smartTag w:uri="urn:schemas-microsoft-com:office:smarttags" w:element="metricconverter">
        <w:smartTagPr>
          <w:attr w:name="ProductID" w:val="6 km"/>
        </w:smartTagPr>
        <w:r w:rsidR="0049590C" w:rsidRPr="008C3C29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6 km</w:t>
        </w:r>
      </w:smartTag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severovýchod  od Bytče. Jedná sa o potočnú radovú dedinu, ktorej nadmorská výška sa pohybuje v rozmedzí 320 – </w:t>
      </w:r>
      <w:smartTag w:uri="urn:schemas-microsoft-com:office:smarttags" w:element="metricconverter">
        <w:smartTagPr>
          <w:attr w:name="ProductID" w:val="567 m"/>
        </w:smartTagPr>
        <w:r w:rsidR="0049590C" w:rsidRPr="008C3C29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567 m</w:t>
        </w:r>
      </w:smartTag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pričom stred obce je v nadmorskej výške </w:t>
      </w:r>
      <w:smartTag w:uri="urn:schemas-microsoft-com:office:smarttags" w:element="metricconverter">
        <w:smartTagPr>
          <w:attr w:name="ProductID" w:val="360 m"/>
        </w:smartTagPr>
        <w:r w:rsidR="0049590C" w:rsidRPr="008C3C29">
          <w:rPr>
            <w:rFonts w:ascii="Times New Roman" w:eastAsia="Times New Roman" w:hAnsi="Times New Roman" w:cs="Times New Roman"/>
            <w:sz w:val="24"/>
            <w:szCs w:val="24"/>
            <w:lang w:eastAsia="sk-SK"/>
          </w:rPr>
          <w:t>360 m</w:t>
        </w:r>
      </w:smartTag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. Svojou rozlohou 2,043 km</w:t>
      </w:r>
      <w:r w:rsidR="0049590C" w:rsidRPr="008C3C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 xml:space="preserve">2 </w:t>
      </w:r>
      <w:r w:rsidR="0049590C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patrí k pomerne malým obciam okresu. Katastrálne hraničí s obcami Dolný Hričov, Paštinou Závadou a Hlbokým nad Váhom.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Hustota  a počet obyvateľov :  183 obyv./km</w:t>
      </w:r>
      <w:r w:rsidRPr="008C3C29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sk-SK"/>
        </w:rPr>
        <w:t>2</w:t>
      </w: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,   372 obyvateľov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>(podľa sčítania v roku 2001)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Národnostná štruktúra : slovenská 99,2% (podľa sčítania v roku 2001)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Štruktúra obyvateľstva podľa náboženského významu : 96,67 %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rímskokatolíci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, 2,33% evanjelická cirkev metodistická, gréckokatolícka a bez vyznania (podľa sčítania v roku 2001)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Ekonomické údaje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Nezamestnanosť v obci : 5,5%, väčší podiel žien 7,7%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>(podľa sčítania 2001)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Symboly obce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Erb obce :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sk-SK"/>
        </w:rPr>
      </w:pPr>
      <w:r w:rsidRPr="008C3C29">
        <w:rPr>
          <w:rFonts w:ascii="Times New Roman" w:eastAsia="Times New Roman" w:hAnsi="Times New Roman" w:cs="Times New Roman"/>
          <w:noProof/>
          <w:sz w:val="24"/>
          <w:szCs w:val="36"/>
          <w:lang w:eastAsia="sk-SK"/>
        </w:rPr>
        <w:drawing>
          <wp:inline distT="0" distB="0" distL="0" distR="0" wp14:anchorId="14168AF9" wp14:editId="3FDE3E82">
            <wp:extent cx="809625" cy="933450"/>
            <wp:effectExtent l="0" t="0" r="9525" b="0"/>
            <wp:docPr id="1" name="Obrázok 1" descr="Hrič_Podhr_č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rič_Podhr_č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6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36"/>
          <w:lang w:eastAsia="sk-SK"/>
        </w:rPr>
        <w:t xml:space="preserve">V zelenom štíte po striebornej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36"/>
          <w:lang w:eastAsia="sk-SK"/>
        </w:rPr>
        <w:t>ľavošikmej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36"/>
          <w:lang w:eastAsia="sk-SK"/>
        </w:rPr>
        <w:t xml:space="preserve"> mreži ponad strieborný vyrastajúci trs trávy skáčuci zlatý obrátený jeleň v striebornej zbroji, vľavo strieborný vyrastajúci vysoký prehnutý výhonok.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4B2FDD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Vlajka obce :</w:t>
      </w:r>
    </w:p>
    <w:p w:rsidR="004B2FDD" w:rsidRPr="008C3C29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Vlajka obce Hričovské Podhradie pozostáva z piatich pozdĺžnych pruhov vo farbách zelenej (1/9), bielej (2/9), žltej (2/9), zelenej (2/9) a bielej (2/9). Vlajka má pomer strán 2:3a ukončená je tromi cípmi, t.j. dvomi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zástrihmi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, siahajúcimi do tretiny jej listu.</w:t>
      </w:r>
    </w:p>
    <w:p w:rsidR="0049590C" w:rsidRDefault="0049590C" w:rsidP="00495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6F198B" w:rsidP="004959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1.5 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História obce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Miestne archeologické nálezy poukazujú na to, že dané územie bolo osídlené už v období staršej doby železnej. Neskôr tu vzniklo sídlisko púchovskej kultúry z doby rímskej zistené v lokalitách Skala,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Mikov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kopec a Komíny. V priebehu 8. a najmä 9. storočia širšie územie Bytčianskej kotliny osídlili slovanské kmene. Slovanské sídlisko sa zistilo aj na území súčasného Hričovského Podhradia. Na temene hradného vrchu bolo veľkomoravské osídlenie a predpokladá sa, že tu bol aj drevený hrad. Dokazujú to nálezy črepov a stredovekej keramiky. Sídliská z 8. – 10. stor. boli vlastne zárodkami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rano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stredovekých dedín.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Územie je priamo listinne a ohraničením doložené v roku 1208 ako majetok nitrianskeho biskupa a uvádza sa ako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praedium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Ryzoi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   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Na mieste pravdepodobného dreveného hradu po tatárskom vpáde zrejme  v rokoch 1254 - 1265 bol vybudovaný kamenný hrad s opevnením, ktorý sa v listinnom materiály prvý raz spomína v  roku 1265. Hrad pomerne malých rozmerov, je stavaný do skalného nerovného terénu, ktorého výškové rozdiely určili charakter stavby, riešenej blokovo bez vnútorného dvora. Ťažil zo strategicky výhodnej polohy a umožňoval kontrolu a ochranu obchodnej cesty. Patrí medzi najstaršie hrady na strednom Považí. Z vojenského hľadiska hrad zapadol do obranného systému na Považí, ale plnil aj funkciu hospodárskeho a spoločenského centra.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Podobne ako je to pri hrade aj prvá písomná zmienka o obci pochádza z roku 1265. Svedčí to o tom, že územie na ktorom vznikla patrilo k 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hričovskému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panstvu a hradu už od začiatku jeho jestvovania. Jej pôvodný názov bol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Hrichow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 r. 1271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Hrychov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Vlastná obec ktorá vznikla pri hrade Hričov je prvý krát doložená v r. 1469 ako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possesio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Waralya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 v r. 1598 Podhradie. Jej súčasný názov Hričovské Podhradie sa objavuje až v roku 1808. V r. 1282 k hradnému panstvu patrili aj dediny Dolný a Horný Hričov, Peklina a Ovčiarsko a v r. 1469 aj Hlboké, Závadka, Veľká Kotešová a Dlhé Pole.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Koncom 13. storočia panstvo patrilo aj Matúšovi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Čákovi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neskôr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Podmanickovcom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Zápoľským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Thurzovcom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V polovici 16. stor. ho prechodne obsadili lúpežní rytieri a potom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sa celé panstvo stalo súčasťou panstva Bytča, ktoré tu malo majer a panský mlyn.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Koncom 16. stor. bolo Hričovské Podhradie malou osadou v ktorej bývalo len 6 želiarskych rodín, mlynár a zrejme aj niekoľko sluhov. V r. 1592 tu žilo cca 30 – 35 ľudí. Ich počet  do roku 1607 vzrástol na cca 50 – 60 ľudí. V 70-tych rokoch 18. storočia bolo menšou drevenou dedinou medzi Váhom a horami, ktorej dominoval hrad Hričov. Bývalo tu 33 sedliakov, ktorí užívali 10 urbárskych usadlostí. V r. 1784 tu stálo už 29 domov, v ktorých bývalo 40 rodín a 192 obyvateľov.  Na začiatku 19. stor. bolo malou dedinou, ktorú tvorilo 13 sedliackych a 23 želiarskych chalúp. Počet obyvateľov mierne poklesol na 184 obyvateľov. V dôsledku populačnej explózie koncom druhého desaťročia 19. stor. počet obyvateľov v r. 1828 činil 256 osôb.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     Pôvodne sa obyvatelia zaoberali najmä poľnohospodárstvom, keď popri chove dobytka, ošípaných, oviec, kôz a hydiny pestovali najmä obilniny, strukoviny, pohánku, kapustu, ľan,  konope a krmoviny. Rozšírené bolo aj včelárstvo. Popri poľnohospodárstve k najstarším aktivitám obyvateľov obce Hričovské Podhradie patrilo pastierstvo, ovocinárstvo, práca v lesoch, furmanská doprava a neskôr aj pltníctvo. Z drobných remesiel mali zastúpenie mlynári, pekári, kováči a tesári. V roku 1770 pracovali v dedine dva vodné panské mlyny. Chov oviec umožňoval výrobu súkna na obuv a ošatenie. Všetky základné časti odevov sa zhotovovali doma z vyrobeného zrebného plátna a súkna. Na začiatku 19. storočia sa na území obce spomína aj vápenka  a okolo roku 1830 sa v obci robili pokusy aj o ťažbu uhlia.</w:t>
      </w:r>
    </w:p>
    <w:p w:rsidR="004B2FDD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Sedliacke i želiarske domy boli drevené, menej na výstavbu sa používala nepálená tehla a kameň. Príbytky boli jednoduché, hlavným priestorom bola kuchyňa. Obyvatelia si domy budovali sami, hlavne svojpomocou. Zariadenie bolo jednoduché, ale funkčné.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6F198B" w:rsidP="006F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1.6 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Cestovný ruch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Cestovný ruch ako významný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socio-ekonomický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fenomén súčasnej doby výraznou mierou by sa mohol podieľať na rozvoji obce i regiónu. Vzhľadom na existujúce trendy rozvoja cestovného ruchu možno rozvoj obce orientovať na ponuku intenzívnych zážitkov, na ponuku priestoru vzájomných sociálnych kontaktov, sebaurčenia a sebarealizácie v kooperácii s potenciálom cestovného ruchu a ľudskými zdrojmi v obci.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Pri charakterizovaní cestovného ruchu a potenciálu cestovného ruchu v obci Hričovské Podhradie vychádzame z histórie i súčasnosti obce, ako aj jej prírodných daností.  Cestovný ruch možno orientovať na využívanie prírodného potenciálu obce, možnosti jeho prezentácie, rozvoj ekologicky málo záťažových foriem cestovného ruchu v obci a jej okolí, ktoré sú atraktívne pre návštevníka.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Primárna ponuka je zastúpená  zrúcaninou hradu Hričov, ktorá sa nachádza priamo v katastri obce, ale i zvonicou postavenou začiatkom 20. stor. nachádzajúcej sa v malebnej polohe. Nie zanedbateľné sú aj prírodné danosti –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Hričovská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skalná ihla, chránený prírodný vápencový výtvor, ako aj existujúce prostredie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podhoria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Strážovských vrchov, najmä blízkosťou atraktívnych štátnych prírodných rezervácií (ŠPR) Súľovské skaly a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Manínska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tiesňava. Perspektívne pre cestovný ruch a turistiku by sa mohla využiť dolina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Závadského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potoka, čo by si vyžiadalo spoluprácu Hričovského Podhradia s okolitými obcami - Paštinou Závadou a Dolným Hričovom – Peklinou, resp. spoluprácou v rámci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mikroregiónu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Hričov.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Obec a jej okolie poskytujú popri turistike vhodné podmienky aj na  cykloturistiku. Jedná sa o atraktívne prostredie pre rozvoj nie príliš namáhavých foriem turistiky. Reliéf  terénu je pomerne málo až stredne náročný na cyklistické túry i turistiku samotnú. Existuje tu sieť značených ale i neznačených turistických a cyklistických chodníkov. Územím obce vedie červená turistická značka zo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Strážova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cez Ovčiarsko,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Hričovský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hrad do Súľova cez Súľovské skaly. V blízkosti obce prechádza Vážska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cyklomagistrála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Cykloputovanie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je možné spestriť v spojení s „Matúšovým kráľovstvom“ o výlety na okolité hrady – Súľovský,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Hričovský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Považský, ale i vzdialenejšie Lietavský, Starý hrad, resp. Strečno a zámky – Bytčiansky,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Budatínsky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Kuneradský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Popri hradoch a zámkoch lákavé sú aj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cyklociele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sedlá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Pastúch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Roháčske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sedlo v Súľovských skalách, poprípade vzdialenejšie ciele v 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Javorníkoch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vrátane  ich vrcholu Veľkého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Javorníka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</w:t>
      </w:r>
      <w:smartTag w:uri="urn:schemas-microsoft-com:office:smarttags" w:element="metricconverter">
        <w:smartTagPr>
          <w:attr w:name="ProductID" w:val="1971 m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1971 m</w:t>
        </w:r>
      </w:smartTag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), poprípade návšteva kúpeľného mesta Rajecké Teplice. Významné je aj prepojenie na cyklotrasy v Českej republike. Uvedené možnosti pre turistický ruch je však možné využiť za predpokladu vybudovania parkoviska pod hradom, ale </w:t>
      </w: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lastRenderedPageBreak/>
        <w:t xml:space="preserve">i ubytovacích kapacít vrátane možnosti občerstvenia. Pri vybudovaní ubytovacích kapacít v obci bude možné turistiku obohatiť o 3 – 5 denný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cyklopobyt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u w:val="single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Popri spomenutých kultúrnych pamiatkach – hrade a zvonici, k novým stavbám patrí  sakrálny objekt kaplnky „Božieho milosrdenstva“ z roku 2003</w:t>
      </w:r>
      <w:r w:rsidR="00BC7ADA">
        <w:rPr>
          <w:rFonts w:ascii="Times New Roman" w:eastAsia="Times New Roman" w:hAnsi="Times New Roman" w:cs="Times New Roman"/>
          <w:sz w:val="24"/>
          <w:szCs w:val="20"/>
          <w:lang w:eastAsia="cs-CZ"/>
        </w:rPr>
        <w:t>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Hypoturistika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ako element rozvoja agroturistiky môže vo významnej miere zatraktívniť   obec i jej širšie okolie. Avšak všeobecná dostupnosť a kvalita poskytovaných služieb v danej lokalite zatiaľ absentuje. V ponuke by malo byť zahrnuté ubytovanie, stravovanie, jazda na koni, ako aj rozšírená ponuka na víkendové, resp. prázdninové pobyty.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Sekundárna ponuka cestovného ruchu predstavuje služby a aktivity, ktoré sa na riešenom území v rámci cestovného ruchu nachádzajú a nadväzujú tak na primárnu ponuku a dotvárajú tak komplexný balík cestovného ruchu. Obec zatiaľ nedisponuje parkoviskom ani ubytovacími zariadeniami.  Podobne neexistujú ani možnosti stravovania. Uvedené</w:t>
      </w:r>
      <w:r w:rsidRPr="008C3C29">
        <w:rPr>
          <w:rFonts w:ascii="Times New Roman" w:eastAsia="Times New Roman" w:hAnsi="Times New Roman" w:cs="Times New Roman"/>
          <w:i/>
          <w:sz w:val="24"/>
          <w:szCs w:val="20"/>
          <w:lang w:eastAsia="cs-CZ"/>
        </w:rPr>
        <w:t xml:space="preserve"> </w:t>
      </w: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nedostatky súčasne vytvárajú priestor na ich postupné budovanie, bez čoho nie je ani ďalší rozvoj v oblasti cestovného ruchu mysliteľný.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Nevyhnutným predpokladom pre rozvoj cestovného ruchu sú doplnkové služby orientované na športové vyžitie a relax, ale aj na obchodnú sieť zaujímavú pre návštevníka.  Pri plánovaní rozvoja územia bude potrebné vyvinúť maximálne úsilie a podporu pre rozvoj uvedených služieb v spolupráci s v obcami združenými do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mikroregiónu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Hričov.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Športovým aktivitám slúžia priestory ihriska, ktoré síce vybudovala obec Hričovské Podhradie a na ktorom súťažne hrá aj jej futbalový klub, ale pri delimitácii od obce Dolný Hričov toto zostalo v katastri Dolného Hričova.</w:t>
      </w:r>
      <w:r w:rsidR="00BC7AD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 roku 2016 obecný úrad vyvinul úsilie k majetkovo-právnemu </w:t>
      </w:r>
      <w:proofErr w:type="spellStart"/>
      <w:r w:rsidR="00BC7ADA">
        <w:rPr>
          <w:rFonts w:ascii="Times New Roman" w:eastAsia="Times New Roman" w:hAnsi="Times New Roman" w:cs="Times New Roman"/>
          <w:sz w:val="24"/>
          <w:szCs w:val="20"/>
          <w:lang w:eastAsia="cs-CZ"/>
        </w:rPr>
        <w:t>vysporiadaniu</w:t>
      </w:r>
      <w:proofErr w:type="spellEnd"/>
      <w:r w:rsidR="00BC7ADA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budovy i pozemku ihriska, ktoré by malo byť v roku 2017 ukončené. </w:t>
      </w: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      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</w:t>
      </w:r>
    </w:p>
    <w:p w:rsidR="008C3C29" w:rsidRPr="008C3C29" w:rsidRDefault="006F198B" w:rsidP="006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1.7 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Výchova a vzdelávanie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6F198B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V súčasnosti výchovu a vzdelávanie detí v obci poskytuje: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Materská škola Hričovské Podhradie – </w:t>
      </w:r>
      <w:r w:rsidR="00BC7ADA">
        <w:rPr>
          <w:rFonts w:ascii="Times New Roman" w:eastAsia="Times New Roman" w:hAnsi="Times New Roman" w:cs="Times New Roman"/>
          <w:sz w:val="24"/>
          <w:szCs w:val="24"/>
          <w:lang w:eastAsia="sk-SK"/>
        </w:rPr>
        <w:t>18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detí vo veku od 3 do 6 rokov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Povinnú školskú dochádzku plnia deti na Základnej škole P. V. </w:t>
      </w:r>
      <w:proofErr w:type="spellStart"/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Rovnianka</w:t>
      </w:r>
      <w:proofErr w:type="spellEnd"/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 Dolnom Hričove.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6F198B" w:rsidP="006F198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1.8 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Zdravotníctvo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Obec z hľadiska zdravotníctva spádovo patrí do </w:t>
      </w:r>
      <w:smartTag w:uri="urn:schemas-microsoft-com:office:smarttags" w:element="metricconverter">
        <w:smartTagPr>
          <w:attr w:name="ProductID" w:val="6 km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6 km</w:t>
        </w:r>
      </w:smartTag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vzdialeného mesta Bytča a nemocnice s poliklinikou v Žiline. Zubný lekár ordinuje pre občanov Hričovského Podhradia v susednom Dolnom Hričove. Na vyšetrenia k všeobecným i odborným lekárom občania dochádzajú do Bytče, resp. Žiliny. Detský a dorastový lekár ordinuje pre občanov obce na poliklinike v Bytči.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</w:p>
    <w:p w:rsidR="008C3C29" w:rsidRPr="008C3C29" w:rsidRDefault="006F198B" w:rsidP="006F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1.9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Kultúra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Obecná knižnica bola zriadená v roku 1967. Jej fond bol pôvodne vybudovaný zasielaním knižných publikácií Okresnou a Krajskou knižnicou v Žiline. Od roku 1990 prírastok knižného fondu zabezpečuje Obecný úrad zo svojho rozpočtu.</w:t>
      </w:r>
    </w:p>
    <w:p w:rsidR="004B2FDD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Výstavba kultúrneho domu sa začala v 60-tych  rokoch uplynulého storočia v rámci akcie Z a bola financovaná a koordinovaná Miestnym národným výborom v Hričovskom Podhradí a </w:t>
      </w: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značnú zásluhu na ňom majú samotní obyvatelia obce, ktorí na ňom odpracovali mnoho brigádnických hodín, bez nároku na mzdu. Slávnostne bol otvorený v r. 1963.  V súčasnosti v ňom sídli Obecný úrad, Materská škola, obecná knižnica a v jeho prístavbe aj hasičský sklad. </w:t>
      </w:r>
    </w:p>
    <w:p w:rsidR="004B2FDD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Samotný kultúrny dom má jednu sálu s javiskom, kuchynku a sociálne zariadenie. Slúži na rôzne spoločenské aktivity z ktorých možno spomenúť:</w:t>
      </w:r>
    </w:p>
    <w:p w:rsidR="004B2FDD" w:rsidRPr="008C3C29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oslavu spojenú s programom, posedením, občerstvením a vecnými darčekmi z príležitosti Dňa matiek,</w:t>
      </w:r>
    </w:p>
    <w:p w:rsidR="008C3C29" w:rsidRPr="008C3C29" w:rsidRDefault="008C3C29" w:rsidP="008C3C2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prezentačné účely rôznych firiem,</w:t>
      </w:r>
    </w:p>
    <w:p w:rsidR="008C3C29" w:rsidRPr="008C3C29" w:rsidRDefault="008C3C29" w:rsidP="008C3C2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rodinné oslavy,</w:t>
      </w:r>
    </w:p>
    <w:p w:rsidR="008C3C29" w:rsidRPr="008C3C29" w:rsidRDefault="00BC7ADA" w:rsidP="008C3C2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pohrebovania</w:t>
      </w:r>
      <w:proofErr w:type="spellEnd"/>
      <w:r w:rsidR="008C3C29"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,</w:t>
      </w:r>
    </w:p>
    <w:p w:rsidR="008C3C29" w:rsidRPr="008C3C29" w:rsidRDefault="008C3C29" w:rsidP="008C3C29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cs-CZ"/>
        </w:rPr>
        <w:t>svadby a tanečné zábavy.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cs-CZ"/>
        </w:rPr>
      </w:pPr>
    </w:p>
    <w:p w:rsidR="008C3C29" w:rsidRPr="008C3C29" w:rsidRDefault="006F198B" w:rsidP="006F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1.10</w:t>
      </w:r>
      <w:r w:rsidR="008C3C29" w:rsidRPr="008C3C2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Hospodárstvo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V rámci katastrálneho územia obce  na poľnohospodársku pôdu pripadá: </w:t>
      </w:r>
      <w:smartTag w:uri="urn:schemas-microsoft-com:office:smarttags" w:element="metricconverter">
        <w:smartTagPr>
          <w:attr w:name="ProductID" w:val="99,8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99,8 ha</w:t>
        </w:r>
      </w:smartTag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.  V tom:</w:t>
      </w:r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orná pôda                       </w:t>
      </w:r>
      <w:smartTag w:uri="urn:schemas-microsoft-com:office:smarttags" w:element="metricconverter">
        <w:smartTagPr>
          <w:attr w:name="ProductID" w:val="8,4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8,4 ha</w:t>
        </w:r>
      </w:smartTag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trvalý trávny porast      </w:t>
      </w:r>
      <w:smartTag w:uri="urn:schemas-microsoft-com:office:smarttags" w:element="metricconverter">
        <w:smartTagPr>
          <w:attr w:name="ProductID" w:val="83,1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83,1 ha</w:t>
        </w:r>
      </w:smartTag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záhrady a ovocné sady   </w:t>
      </w:r>
      <w:smartTag w:uri="urn:schemas-microsoft-com:office:smarttags" w:element="metricconverter">
        <w:smartTagPr>
          <w:attr w:name="ProductID" w:val="8,3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8,3 ha</w:t>
        </w:r>
      </w:smartTag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Zvyšok </w:t>
      </w:r>
      <w:smartTag w:uri="urn:schemas-microsoft-com:office:smarttags" w:element="metricconverter">
        <w:smartTagPr>
          <w:attr w:name="ProductID" w:val="104,5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104,5 ha</w:t>
        </w:r>
      </w:smartTag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pripadá na nepoľnohospodársku pôdu, z toho:</w:t>
      </w:r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lesné pozemky                       </w:t>
      </w:r>
      <w:smartTag w:uri="urn:schemas-microsoft-com:office:smarttags" w:element="metricconverter">
        <w:smartTagPr>
          <w:attr w:name="ProductID" w:val="77,7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77,7 ha</w:t>
        </w:r>
      </w:smartTag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vodné plochy                           </w:t>
      </w:r>
      <w:smartTag w:uri="urn:schemas-microsoft-com:office:smarttags" w:element="metricconverter">
        <w:smartTagPr>
          <w:attr w:name="ProductID" w:val="0,7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0,7 ha</w:t>
        </w:r>
      </w:smartTag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zastavanú plochu a nádvoria </w:t>
      </w:r>
      <w:smartTag w:uri="urn:schemas-microsoft-com:office:smarttags" w:element="metricconverter">
        <w:smartTagPr>
          <w:attr w:name="ProductID" w:val="13,0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13,0 ha</w:t>
        </w:r>
      </w:smartTag>
    </w:p>
    <w:p w:rsidR="008C3C29" w:rsidRPr="008C3C29" w:rsidRDefault="008C3C29" w:rsidP="008C3C2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ostatnú plochu                       </w:t>
      </w:r>
      <w:smartTag w:uri="urn:schemas-microsoft-com:office:smarttags" w:element="metricconverter">
        <w:smartTagPr>
          <w:attr w:name="ProductID" w:val="13,1 ha"/>
        </w:smartTagPr>
        <w:r w:rsidRPr="008C3C29">
          <w:rPr>
            <w:rFonts w:ascii="Times New Roman" w:eastAsia="Times New Roman" w:hAnsi="Times New Roman" w:cs="Times New Roman"/>
            <w:sz w:val="24"/>
            <w:szCs w:val="20"/>
            <w:lang w:eastAsia="cs-CZ"/>
          </w:rPr>
          <w:t>13,1 ha</w:t>
        </w:r>
      </w:smartTag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Z uvedených výmer vyplýva, že prevažnú časť katastra obce zaberajú trvalé trávne porasty a lesné pozemky, na ktoré pripadá 78,7 %. Pomerne rovnaké plochy zaberajú zastavané plochy a nádvoria, resp. ostatné plochy a to po 6,4 %. Aj výmera ornej pôdy je takmer v rovnakom pomere  k výmere záhrad a ovocných sadov a to po 4,1 %. Zvyšok 0,3 % pripadá na vodné plochy.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0"/>
          <w:lang w:eastAsia="cs-CZ"/>
        </w:rPr>
      </w:pPr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    V súčasnosti v rámci poľnohospodárstva obce  tu od roku 1996 pôsobí Poľnohospodárske družstvo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>Agrofin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so sídlom v Dolnom Hričove. Vzhľadom k veľkým výškovým rozdielom jeho hospodárenie na území Hričovského Podhradia sa orientuje na trvalé trávne porasty a pestovanie kukurice na krmivo a kŕmne zmesi. Živočíšna výroba je zameraná na chov oviec a dojníc.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C3C29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     </w:t>
      </w:r>
      <w:r w:rsidRPr="008C3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Vlastná priemyselná výroba nie je v obci zastúpená. Firma LS </w:t>
      </w:r>
      <w:proofErr w:type="spellStart"/>
      <w:r w:rsidRPr="008C3C29">
        <w:rPr>
          <w:rFonts w:ascii="Times New Roman" w:eastAsia="Times New Roman" w:hAnsi="Times New Roman" w:cs="Times New Roman"/>
          <w:sz w:val="24"/>
          <w:szCs w:val="24"/>
          <w:lang w:eastAsia="cs-CZ"/>
        </w:rPr>
        <w:t>Intertank</w:t>
      </w:r>
      <w:proofErr w:type="spellEnd"/>
      <w:r w:rsidRPr="008C3C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sídliaca v obci je zameraná na prepravu rôznych </w:t>
      </w:r>
      <w:r w:rsidR="00BC7ADA">
        <w:rPr>
          <w:rFonts w:ascii="Times New Roman" w:eastAsia="Times New Roman" w:hAnsi="Times New Roman" w:cs="Times New Roman"/>
          <w:sz w:val="24"/>
          <w:szCs w:val="24"/>
          <w:lang w:eastAsia="cs-CZ"/>
        </w:rPr>
        <w:t>tekutých substrátov cisternami a firma Syrové nite je zameraná na výrobu syrov a syrových výrobkov.</w:t>
      </w:r>
    </w:p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8C3C2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1.11 Organizačná štruktúra obce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AF34A1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obce: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Jarmila Dobroňová</w:t>
      </w:r>
    </w:p>
    <w:p w:rsidR="008C3C29" w:rsidRPr="00AF34A1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Zástupca starostu obce :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Ing. Michal Dobroň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Hlavný kontrolór obce: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</w:t>
      </w:r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Marta Hulínová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34A1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zastupiteľstvo: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BC7AD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Ing. Michal Dobroň, Pavol </w:t>
      </w:r>
      <w:proofErr w:type="spellStart"/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Randa</w:t>
      </w:r>
      <w:proofErr w:type="spellEnd"/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, Rastislav Poliak,</w:t>
      </w:r>
    </w:p>
    <w:p w:rsidR="008C3C29" w:rsidRPr="00AF34A1" w:rsidRDefault="00AF34A1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                       </w:t>
      </w:r>
      <w:r w:rsidR="00BC7ADA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  <w:r w:rsidR="008C3C29"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Mgr. Tomáš Lasička, Gabriela </w:t>
      </w:r>
      <w:proofErr w:type="spellStart"/>
      <w:r w:rsidR="008C3C29"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Vidrová</w:t>
      </w:r>
      <w:proofErr w:type="spellEnd"/>
    </w:p>
    <w:p w:rsidR="004B2FDD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Obecný úrad: 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Pr="00AF34A1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Mgr. Miroslava Hulínová</w:t>
      </w:r>
    </w:p>
    <w:p w:rsidR="002B7D83" w:rsidRDefault="002B7D83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2B7D83" w:rsidRPr="00EA4641" w:rsidRDefault="002B7D83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4641">
        <w:rPr>
          <w:rFonts w:ascii="Times New Roman" w:eastAsia="Times New Roman" w:hAnsi="Times New Roman" w:cs="Times New Roman"/>
          <w:sz w:val="24"/>
          <w:szCs w:val="24"/>
          <w:lang w:eastAsia="sk-SK"/>
        </w:rPr>
        <w:t>Obec Hričovské Podhradie nemá v zahraničí žiadnu organizačnú zložku.</w:t>
      </w:r>
    </w:p>
    <w:p w:rsidR="004B2FDD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C3C29" w:rsidRPr="008C3C29" w:rsidRDefault="00AF34A1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 Rozpočet obce na rok 201</w:t>
      </w:r>
      <w:r w:rsidR="004B2FD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  <w:r w:rsidR="008C3C29" w:rsidRPr="008C3C2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 a jeho plnenie</w:t>
      </w:r>
    </w:p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AF34A1" w:rsidRDefault="004B2FDD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Základným   nástrojom  finančného  hospodárenia  obce  bol   rozpočet   obce   na  rok  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Obec v roku 201</w:t>
      </w:r>
      <w:r w:rsidR="00AF34A1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na rok 2016 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zostavila rozpočet podľa ustanovenia § 10 odsek 7) zákona č.583/2004 </w:t>
      </w:r>
      <w:proofErr w:type="spellStart"/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>. o rozpočtových pravidlách územnej samosprávy a o zmene a doplnení niektorých zákonov v znení neskorších predpisov. Rozpočet obce na rok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C3C29"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bol zostavený ako vyrovnaný. </w:t>
      </w:r>
    </w:p>
    <w:p w:rsidR="00AF34A1" w:rsidRDefault="00AF34A1" w:rsidP="00AF34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F34A1" w:rsidRDefault="004B2FDD" w:rsidP="00AF34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AF34A1" w:rsidRPr="00D66335">
        <w:rPr>
          <w:rFonts w:ascii="Times New Roman" w:eastAsia="Times New Roman" w:hAnsi="Times New Roman" w:cs="Times New Roman"/>
          <w:sz w:val="24"/>
          <w:szCs w:val="24"/>
        </w:rPr>
        <w:t>Hospodárenie obce sa riadilo podľa schváleného rozpočtu na rok 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F34A1" w:rsidRPr="00D66335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34A1" w:rsidRPr="00D66335">
        <w:rPr>
          <w:rFonts w:ascii="Times New Roman" w:eastAsia="Times New Roman" w:hAnsi="Times New Roman" w:cs="Times New Roman"/>
          <w:sz w:val="24"/>
          <w:szCs w:val="24"/>
        </w:rPr>
        <w:t xml:space="preserve">Rozpočet bol schválený obecným zastupiteľstvom dňa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.12.201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 xml:space="preserve"> uznesením č. </w:t>
      </w:r>
      <w:r>
        <w:rPr>
          <w:rFonts w:ascii="Times New Roman" w:eastAsia="Times New Roman" w:hAnsi="Times New Roman" w:cs="Times New Roman"/>
          <w:sz w:val="24"/>
          <w:szCs w:val="24"/>
        </w:rPr>
        <w:t>63/2015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4A1" w:rsidRPr="00D66335">
        <w:rPr>
          <w:rFonts w:ascii="Times New Roman" w:eastAsia="Times New Roman" w:hAnsi="Times New Roman" w:cs="Times New Roman"/>
          <w:sz w:val="24"/>
          <w:szCs w:val="24"/>
        </w:rPr>
        <w:t xml:space="preserve"> Rozpočet bol upravený 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.1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 xml:space="preserve"> uznesením č. 6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/201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>.</w:t>
      </w:r>
      <w:r w:rsidR="00AF34A1" w:rsidRPr="004D5003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 xml:space="preserve">Po úprave rozpočtu bol bežný rozpočet schválený ako prebytkový, kapitálový rozpočet ako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schodkový (rozdiel bol pokrytý prebytkom bežného rozpočtu) </w:t>
      </w:r>
      <w:r w:rsidR="00AF34A1">
        <w:rPr>
          <w:rFonts w:ascii="Times New Roman" w:eastAsia="Times New Roman" w:hAnsi="Times New Roman" w:cs="Times New Roman"/>
          <w:sz w:val="24"/>
          <w:szCs w:val="24"/>
        </w:rPr>
        <w:t xml:space="preserve"> a finančné výdavkové operácie boli väčšie ako príjmové finančné operácie.  Po úpravách bol celkový rozpočet vyrovnaný.</w:t>
      </w:r>
      <w:r w:rsidR="00AF34A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8C3C29" w:rsidRPr="008C3C29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2.1 Plnenie príjmov a čerpanie výdavkov za rok 201</w:t>
      </w:r>
      <w:r w:rsidR="004B2FDD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6</w:t>
      </w:r>
    </w:p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35"/>
        <w:gridCol w:w="1479"/>
        <w:gridCol w:w="1856"/>
        <w:gridCol w:w="1989"/>
        <w:gridCol w:w="1860"/>
      </w:tblGrid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C3C29" w:rsidRPr="008C3C29" w:rsidRDefault="008C3C29" w:rsidP="008C3C29">
            <w:pPr>
              <w:jc w:val="center"/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>Rozpočet</w:t>
            </w:r>
          </w:p>
        </w:tc>
        <w:tc>
          <w:tcPr>
            <w:tcW w:w="1856" w:type="dxa"/>
          </w:tcPr>
          <w:p w:rsidR="008C3C29" w:rsidRPr="008C3C29" w:rsidRDefault="008C3C29" w:rsidP="008C3C29">
            <w:pPr>
              <w:jc w:val="center"/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 xml:space="preserve">Rozpočet po zmenách </w:t>
            </w:r>
          </w:p>
        </w:tc>
        <w:tc>
          <w:tcPr>
            <w:tcW w:w="1989" w:type="dxa"/>
          </w:tcPr>
          <w:p w:rsidR="008C3C29" w:rsidRPr="008C3C29" w:rsidRDefault="008C3C29" w:rsidP="004B2FDD">
            <w:pPr>
              <w:jc w:val="center"/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>Skutočné plnenie príjmo</w:t>
            </w:r>
            <w:r w:rsidR="0031180D">
              <w:rPr>
                <w:b/>
                <w:sz w:val="24"/>
                <w:szCs w:val="24"/>
              </w:rPr>
              <w:t>v/čerpanie výdavkov k 31.12.201</w:t>
            </w:r>
            <w:r w:rsidR="004B2FD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60" w:type="dxa"/>
          </w:tcPr>
          <w:p w:rsidR="008C3C29" w:rsidRPr="008C3C29" w:rsidRDefault="008C3C29" w:rsidP="008C3C29">
            <w:pPr>
              <w:jc w:val="center"/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>%plnenia príjmov/</w:t>
            </w:r>
          </w:p>
          <w:p w:rsidR="008C3C29" w:rsidRPr="008C3C29" w:rsidRDefault="008C3C29" w:rsidP="008C3C29">
            <w:pPr>
              <w:jc w:val="center"/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>%čerpania výdavkov</w:t>
            </w:r>
          </w:p>
        </w:tc>
      </w:tr>
      <w:tr w:rsidR="008271F0" w:rsidRPr="008C3C29" w:rsidTr="004E6DD6">
        <w:tc>
          <w:tcPr>
            <w:tcW w:w="2235" w:type="dxa"/>
            <w:shd w:val="clear" w:color="auto" w:fill="BFBFBF" w:themeFill="background1" w:themeFillShade="BF"/>
          </w:tcPr>
          <w:p w:rsidR="008C3C29" w:rsidRPr="008C3C29" w:rsidRDefault="008C3C29" w:rsidP="008C3C29">
            <w:pPr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:rsidR="008C3C29" w:rsidRPr="008C3C29" w:rsidRDefault="0031180D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B2FDD">
              <w:rPr>
                <w:b/>
                <w:sz w:val="24"/>
                <w:szCs w:val="24"/>
              </w:rPr>
              <w:t>20 020,00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:rsidR="008C3C29" w:rsidRPr="008C3C29" w:rsidRDefault="004B2FDD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8271F0">
              <w:rPr>
                <w:b/>
                <w:sz w:val="24"/>
                <w:szCs w:val="24"/>
              </w:rPr>
              <w:t>9 710,94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:rsidR="008C3C29" w:rsidRPr="008C3C29" w:rsidRDefault="004B2FDD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8271F0">
              <w:rPr>
                <w:b/>
                <w:sz w:val="24"/>
                <w:szCs w:val="24"/>
              </w:rPr>
              <w:t>7 360,59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:rsidR="008C3C29" w:rsidRPr="008C3C29" w:rsidRDefault="008271F0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105</w:t>
            </w:r>
            <w:r w:rsidR="0031180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89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Z toho:</w:t>
            </w:r>
          </w:p>
        </w:tc>
        <w:tc>
          <w:tcPr>
            <w:tcW w:w="1479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Bežné príjmy</w:t>
            </w:r>
          </w:p>
        </w:tc>
        <w:tc>
          <w:tcPr>
            <w:tcW w:w="1479" w:type="dxa"/>
          </w:tcPr>
          <w:p w:rsidR="008C3C29" w:rsidRPr="008C3C29" w:rsidRDefault="004B2FD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120 020,00</w:t>
            </w:r>
          </w:p>
        </w:tc>
        <w:tc>
          <w:tcPr>
            <w:tcW w:w="1856" w:type="dxa"/>
          </w:tcPr>
          <w:p w:rsidR="008C3C29" w:rsidRPr="008C3C29" w:rsidRDefault="004B2FD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125 151,00</w:t>
            </w:r>
          </w:p>
        </w:tc>
        <w:tc>
          <w:tcPr>
            <w:tcW w:w="1989" w:type="dxa"/>
          </w:tcPr>
          <w:p w:rsidR="008C3C29" w:rsidRPr="008C3C29" w:rsidRDefault="004B2FD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133 500,65</w:t>
            </w:r>
          </w:p>
        </w:tc>
        <w:tc>
          <w:tcPr>
            <w:tcW w:w="1860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106,67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Kapitálové príjmy</w:t>
            </w:r>
          </w:p>
        </w:tc>
        <w:tc>
          <w:tcPr>
            <w:tcW w:w="1479" w:type="dxa"/>
          </w:tcPr>
          <w:p w:rsidR="008C3C29" w:rsidRPr="008C3C29" w:rsidRDefault="0031180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4B2FDD">
              <w:rPr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700,00</w:t>
            </w:r>
          </w:p>
        </w:tc>
        <w:tc>
          <w:tcPr>
            <w:tcW w:w="1989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60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Finančné príjmy</w:t>
            </w:r>
          </w:p>
        </w:tc>
        <w:tc>
          <w:tcPr>
            <w:tcW w:w="1479" w:type="dxa"/>
          </w:tcPr>
          <w:p w:rsidR="008C3C29" w:rsidRPr="008C3C29" w:rsidRDefault="0031180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71F0">
              <w:rPr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3 859,94</w:t>
            </w:r>
          </w:p>
        </w:tc>
        <w:tc>
          <w:tcPr>
            <w:tcW w:w="1989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3 859,94</w:t>
            </w:r>
          </w:p>
        </w:tc>
        <w:tc>
          <w:tcPr>
            <w:tcW w:w="1860" w:type="dxa"/>
          </w:tcPr>
          <w:p w:rsidR="008C3C29" w:rsidRPr="008C3C29" w:rsidRDefault="0031180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8271F0">
              <w:rPr>
                <w:sz w:val="24"/>
                <w:szCs w:val="24"/>
              </w:rPr>
              <w:t>,00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b/>
                <w:sz w:val="24"/>
                <w:szCs w:val="24"/>
              </w:rPr>
            </w:pPr>
          </w:p>
        </w:tc>
        <w:tc>
          <w:tcPr>
            <w:tcW w:w="1479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271F0" w:rsidRPr="008C3C29" w:rsidTr="004E6DD6">
        <w:tc>
          <w:tcPr>
            <w:tcW w:w="2235" w:type="dxa"/>
            <w:shd w:val="clear" w:color="auto" w:fill="BFBFBF" w:themeFill="background1" w:themeFillShade="BF"/>
          </w:tcPr>
          <w:p w:rsidR="008C3C29" w:rsidRPr="008C3C29" w:rsidRDefault="008C3C29" w:rsidP="008C3C29">
            <w:pPr>
              <w:rPr>
                <w:b/>
                <w:sz w:val="24"/>
                <w:szCs w:val="24"/>
              </w:rPr>
            </w:pPr>
            <w:r w:rsidRPr="008C3C29"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479" w:type="dxa"/>
            <w:shd w:val="clear" w:color="auto" w:fill="BFBFBF" w:themeFill="background1" w:themeFillShade="BF"/>
          </w:tcPr>
          <w:p w:rsidR="008C3C29" w:rsidRPr="008C3C29" w:rsidRDefault="008271F0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120 020,00</w:t>
            </w:r>
          </w:p>
        </w:tc>
        <w:tc>
          <w:tcPr>
            <w:tcW w:w="1856" w:type="dxa"/>
            <w:shd w:val="clear" w:color="auto" w:fill="BFBFBF" w:themeFill="background1" w:themeFillShade="BF"/>
          </w:tcPr>
          <w:p w:rsidR="008C3C29" w:rsidRPr="008C3C29" w:rsidRDefault="008271F0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129 710,94</w:t>
            </w:r>
          </w:p>
        </w:tc>
        <w:tc>
          <w:tcPr>
            <w:tcW w:w="1989" w:type="dxa"/>
            <w:shd w:val="clear" w:color="auto" w:fill="BFBFBF" w:themeFill="background1" w:themeFillShade="BF"/>
          </w:tcPr>
          <w:p w:rsidR="008C3C29" w:rsidRPr="008C3C29" w:rsidRDefault="008271F0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130 749, 83</w:t>
            </w:r>
          </w:p>
        </w:tc>
        <w:tc>
          <w:tcPr>
            <w:tcW w:w="1860" w:type="dxa"/>
            <w:shd w:val="clear" w:color="auto" w:fill="BFBFBF" w:themeFill="background1" w:themeFillShade="BF"/>
          </w:tcPr>
          <w:p w:rsidR="008C3C29" w:rsidRPr="008C3C29" w:rsidRDefault="008271F0" w:rsidP="008271F0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100,</w:t>
            </w:r>
            <w:r w:rsidR="0031180D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Z toho:</w:t>
            </w:r>
          </w:p>
        </w:tc>
        <w:tc>
          <w:tcPr>
            <w:tcW w:w="1479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56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989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60" w:type="dxa"/>
          </w:tcPr>
          <w:p w:rsidR="008C3C29" w:rsidRPr="008C3C29" w:rsidRDefault="008C3C29" w:rsidP="008271F0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Bežné výdavky</w:t>
            </w:r>
          </w:p>
        </w:tc>
        <w:tc>
          <w:tcPr>
            <w:tcW w:w="1479" w:type="dxa"/>
          </w:tcPr>
          <w:p w:rsidR="008C3C29" w:rsidRPr="008C3C29" w:rsidRDefault="004B2FD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120 020,00</w:t>
            </w:r>
          </w:p>
        </w:tc>
        <w:tc>
          <w:tcPr>
            <w:tcW w:w="1856" w:type="dxa"/>
          </w:tcPr>
          <w:p w:rsidR="008C3C29" w:rsidRPr="008C3C29" w:rsidRDefault="004B2FD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120 372,36</w:t>
            </w:r>
          </w:p>
        </w:tc>
        <w:tc>
          <w:tcPr>
            <w:tcW w:w="1989" w:type="dxa"/>
          </w:tcPr>
          <w:p w:rsidR="008C3C29" w:rsidRPr="008C3C29" w:rsidRDefault="004B2FD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121 532,96</w:t>
            </w:r>
          </w:p>
        </w:tc>
        <w:tc>
          <w:tcPr>
            <w:tcW w:w="1860" w:type="dxa"/>
          </w:tcPr>
          <w:p w:rsidR="008C3C29" w:rsidRPr="008C3C29" w:rsidRDefault="0031180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8271F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,</w:t>
            </w:r>
            <w:r w:rsidR="008271F0">
              <w:rPr>
                <w:sz w:val="24"/>
                <w:szCs w:val="24"/>
              </w:rPr>
              <w:t>96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Kapitálové výdavky</w:t>
            </w:r>
          </w:p>
        </w:tc>
        <w:tc>
          <w:tcPr>
            <w:tcW w:w="1479" w:type="dxa"/>
          </w:tcPr>
          <w:p w:rsidR="008C3C29" w:rsidRPr="008C3C29" w:rsidRDefault="0031180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71F0">
              <w:rPr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1 421,60</w:t>
            </w:r>
          </w:p>
        </w:tc>
        <w:tc>
          <w:tcPr>
            <w:tcW w:w="1989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1 983,34</w:t>
            </w:r>
          </w:p>
        </w:tc>
        <w:tc>
          <w:tcPr>
            <w:tcW w:w="1860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139,51</w:t>
            </w:r>
          </w:p>
        </w:tc>
      </w:tr>
      <w:tr w:rsidR="008271F0" w:rsidRPr="008C3C29" w:rsidTr="000C67FF">
        <w:tc>
          <w:tcPr>
            <w:tcW w:w="2235" w:type="dxa"/>
          </w:tcPr>
          <w:p w:rsidR="008C3C29" w:rsidRPr="008C3C29" w:rsidRDefault="008C3C29" w:rsidP="008C3C29">
            <w:pPr>
              <w:rPr>
                <w:sz w:val="24"/>
                <w:szCs w:val="24"/>
              </w:rPr>
            </w:pPr>
            <w:r w:rsidRPr="008C3C29">
              <w:rPr>
                <w:sz w:val="24"/>
                <w:szCs w:val="24"/>
              </w:rPr>
              <w:t>Finančné výdavky</w:t>
            </w:r>
          </w:p>
        </w:tc>
        <w:tc>
          <w:tcPr>
            <w:tcW w:w="1479" w:type="dxa"/>
          </w:tcPr>
          <w:p w:rsidR="008C3C29" w:rsidRPr="008C3C29" w:rsidRDefault="0031180D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8271F0">
              <w:rPr>
                <w:sz w:val="24"/>
                <w:szCs w:val="24"/>
              </w:rPr>
              <w:t>,00</w:t>
            </w:r>
          </w:p>
        </w:tc>
        <w:tc>
          <w:tcPr>
            <w:tcW w:w="1856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7 916,98</w:t>
            </w:r>
          </w:p>
        </w:tc>
        <w:tc>
          <w:tcPr>
            <w:tcW w:w="1989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7 233,53</w:t>
            </w:r>
          </w:p>
        </w:tc>
        <w:tc>
          <w:tcPr>
            <w:tcW w:w="1860" w:type="dxa"/>
          </w:tcPr>
          <w:p w:rsidR="008C3C29" w:rsidRPr="008C3C29" w:rsidRDefault="008271F0" w:rsidP="008271F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91,36</w:t>
            </w:r>
          </w:p>
        </w:tc>
      </w:tr>
    </w:tbl>
    <w:p w:rsidR="008C3C29" w:rsidRPr="008C3C29" w:rsidRDefault="008C3C29" w:rsidP="008C3C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8C3C29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2.2 Rozpočet na roky 201</w:t>
      </w:r>
      <w:r w:rsidR="00FC6D6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7</w:t>
      </w:r>
      <w:r w:rsidRPr="008C3C2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-201</w:t>
      </w:r>
      <w:r w:rsidR="00FC6D61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9</w:t>
      </w:r>
    </w:p>
    <w:p w:rsidR="008C3C29" w:rsidRPr="008C3C29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1"/>
        <w:gridCol w:w="1736"/>
        <w:gridCol w:w="1843"/>
        <w:gridCol w:w="1701"/>
        <w:gridCol w:w="1722"/>
      </w:tblGrid>
      <w:tr w:rsidR="00862605" w:rsidRPr="00862605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8C3C29" w:rsidRPr="004831A1" w:rsidRDefault="008C3C29" w:rsidP="008C3C29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Skutočnosť k</w:t>
            </w:r>
          </w:p>
          <w:p w:rsidR="008C3C29" w:rsidRPr="004831A1" w:rsidRDefault="008C3C29" w:rsidP="00862605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31.12.201</w:t>
            </w:r>
            <w:r w:rsidR="00FC6D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3C29" w:rsidRPr="004831A1" w:rsidRDefault="008C3C29" w:rsidP="00862605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Rozpočet na rok 201</w:t>
            </w:r>
            <w:r w:rsidR="00FC6D6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3C29" w:rsidRPr="004831A1" w:rsidRDefault="008C3C29" w:rsidP="00862605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Rozpočet na rok 201</w:t>
            </w:r>
            <w:r w:rsidR="00FC6D61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722" w:type="dxa"/>
          </w:tcPr>
          <w:p w:rsidR="008C3C29" w:rsidRPr="004831A1" w:rsidRDefault="008C3C29" w:rsidP="00862605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Rozpočet na rok 201</w:t>
            </w:r>
            <w:r w:rsidR="00FC6D61">
              <w:rPr>
                <w:b/>
                <w:sz w:val="24"/>
                <w:szCs w:val="24"/>
              </w:rPr>
              <w:t>9</w:t>
            </w:r>
          </w:p>
        </w:tc>
      </w:tr>
      <w:tr w:rsidR="00862605" w:rsidRPr="00862605" w:rsidTr="004E6DD6">
        <w:tc>
          <w:tcPr>
            <w:tcW w:w="2341" w:type="dxa"/>
            <w:shd w:val="clear" w:color="auto" w:fill="BFBFBF" w:themeFill="background1" w:themeFillShade="BF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Príjmy celkom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:rsidR="008C3C29" w:rsidRPr="004831A1" w:rsidRDefault="00862605" w:rsidP="00787FDB">
            <w:pPr>
              <w:jc w:val="right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1</w:t>
            </w:r>
            <w:r w:rsidR="00FC6D61">
              <w:rPr>
                <w:b/>
                <w:sz w:val="24"/>
                <w:szCs w:val="24"/>
              </w:rPr>
              <w:t>37 360,59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C3C29" w:rsidRPr="004831A1" w:rsidRDefault="004831A1" w:rsidP="00787FDB">
            <w:pPr>
              <w:jc w:val="right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1</w:t>
            </w:r>
            <w:r w:rsidR="00787FDB">
              <w:rPr>
                <w:b/>
                <w:sz w:val="24"/>
                <w:szCs w:val="24"/>
              </w:rPr>
              <w:t>29 496,00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C3C29" w:rsidRPr="004831A1" w:rsidRDefault="00787FDB" w:rsidP="00787F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137 521,00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8C3C29" w:rsidRPr="004831A1" w:rsidRDefault="00787FDB" w:rsidP="00787F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138 521,00</w:t>
            </w:r>
          </w:p>
        </w:tc>
      </w:tr>
      <w:tr w:rsidR="00862605" w:rsidRPr="00862605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Z toho:</w:t>
            </w:r>
          </w:p>
        </w:tc>
        <w:tc>
          <w:tcPr>
            <w:tcW w:w="1736" w:type="dxa"/>
          </w:tcPr>
          <w:p w:rsidR="008C3C29" w:rsidRPr="004831A1" w:rsidRDefault="008C3C29" w:rsidP="00787FD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C29" w:rsidRPr="004831A1" w:rsidRDefault="008C3C29" w:rsidP="00787FD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C29" w:rsidRPr="004831A1" w:rsidRDefault="008C3C29" w:rsidP="00787FD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8C3C29" w:rsidRPr="004831A1" w:rsidRDefault="008C3C29" w:rsidP="00787FDB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62605" w:rsidRPr="00862605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Bežné príjmy</w:t>
            </w:r>
          </w:p>
        </w:tc>
        <w:tc>
          <w:tcPr>
            <w:tcW w:w="1736" w:type="dxa"/>
          </w:tcPr>
          <w:p w:rsidR="008C3C29" w:rsidRPr="004831A1" w:rsidRDefault="00FC6D61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133 500,65</w:t>
            </w:r>
          </w:p>
        </w:tc>
        <w:tc>
          <w:tcPr>
            <w:tcW w:w="1843" w:type="dxa"/>
          </w:tcPr>
          <w:p w:rsidR="008C3C29" w:rsidRPr="004831A1" w:rsidRDefault="00787FDB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129 496,00</w:t>
            </w:r>
          </w:p>
        </w:tc>
        <w:tc>
          <w:tcPr>
            <w:tcW w:w="1701" w:type="dxa"/>
          </w:tcPr>
          <w:p w:rsidR="008C3C29" w:rsidRPr="004831A1" w:rsidRDefault="00787FDB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137 521,00</w:t>
            </w:r>
          </w:p>
        </w:tc>
        <w:tc>
          <w:tcPr>
            <w:tcW w:w="1722" w:type="dxa"/>
          </w:tcPr>
          <w:p w:rsidR="008C3C29" w:rsidRPr="004831A1" w:rsidRDefault="00787FDB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138 521,00</w:t>
            </w:r>
          </w:p>
        </w:tc>
      </w:tr>
      <w:tr w:rsidR="00862605" w:rsidRPr="00862605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lastRenderedPageBreak/>
              <w:t>Kapitálové príjmy</w:t>
            </w:r>
          </w:p>
        </w:tc>
        <w:tc>
          <w:tcPr>
            <w:tcW w:w="1736" w:type="dxa"/>
          </w:tcPr>
          <w:p w:rsidR="008C3C29" w:rsidRPr="004831A1" w:rsidRDefault="00FC6D61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787FD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787FDB">
              <w:rPr>
                <w:sz w:val="24"/>
                <w:szCs w:val="24"/>
              </w:rPr>
              <w:t>,00</w:t>
            </w:r>
          </w:p>
        </w:tc>
        <w:tc>
          <w:tcPr>
            <w:tcW w:w="1722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787FDB">
              <w:rPr>
                <w:sz w:val="24"/>
                <w:szCs w:val="24"/>
              </w:rPr>
              <w:t>,00</w:t>
            </w:r>
          </w:p>
        </w:tc>
      </w:tr>
      <w:tr w:rsidR="00862605" w:rsidRPr="00862605" w:rsidTr="000C67FF">
        <w:tc>
          <w:tcPr>
            <w:tcW w:w="2341" w:type="dxa"/>
          </w:tcPr>
          <w:p w:rsidR="008C3C29" w:rsidRPr="004831A1" w:rsidRDefault="008C3C29" w:rsidP="00862605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Finančné príjmy</w:t>
            </w:r>
          </w:p>
        </w:tc>
        <w:tc>
          <w:tcPr>
            <w:tcW w:w="1736" w:type="dxa"/>
          </w:tcPr>
          <w:p w:rsidR="008C3C29" w:rsidRPr="004831A1" w:rsidRDefault="00FC6D61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3 859,94</w:t>
            </w:r>
          </w:p>
        </w:tc>
        <w:tc>
          <w:tcPr>
            <w:tcW w:w="1843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787FDB">
              <w:rPr>
                <w:sz w:val="24"/>
                <w:szCs w:val="24"/>
              </w:rPr>
              <w:t>,00</w:t>
            </w:r>
          </w:p>
        </w:tc>
        <w:tc>
          <w:tcPr>
            <w:tcW w:w="1701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787FDB">
              <w:rPr>
                <w:sz w:val="24"/>
                <w:szCs w:val="24"/>
              </w:rPr>
              <w:t>,00</w:t>
            </w:r>
          </w:p>
        </w:tc>
        <w:tc>
          <w:tcPr>
            <w:tcW w:w="1722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787FDB">
              <w:rPr>
                <w:sz w:val="24"/>
                <w:szCs w:val="24"/>
              </w:rPr>
              <w:t>,00</w:t>
            </w:r>
          </w:p>
        </w:tc>
      </w:tr>
    </w:tbl>
    <w:p w:rsidR="008C3C29" w:rsidRPr="00862605" w:rsidRDefault="008C3C29" w:rsidP="00862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8C3C29" w:rsidRPr="00862605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41"/>
        <w:gridCol w:w="1736"/>
        <w:gridCol w:w="1843"/>
        <w:gridCol w:w="1701"/>
        <w:gridCol w:w="1722"/>
      </w:tblGrid>
      <w:tr w:rsidR="008C3C29" w:rsidRPr="00862605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</w:p>
        </w:tc>
        <w:tc>
          <w:tcPr>
            <w:tcW w:w="1736" w:type="dxa"/>
          </w:tcPr>
          <w:p w:rsidR="008C3C29" w:rsidRPr="004831A1" w:rsidRDefault="008C3C29" w:rsidP="008C3C29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Skutočnosť k</w:t>
            </w:r>
          </w:p>
          <w:p w:rsidR="008C3C29" w:rsidRPr="004831A1" w:rsidRDefault="008C3C29" w:rsidP="00FC6D61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31.12.201</w:t>
            </w:r>
            <w:r w:rsidR="00FC6D6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8C3C29" w:rsidRPr="004831A1" w:rsidRDefault="008C3C29" w:rsidP="004831A1">
            <w:pPr>
              <w:jc w:val="center"/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Rozpočet na rok 201</w:t>
            </w:r>
            <w:r w:rsidR="00FC6D61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C3C29" w:rsidRPr="004831A1" w:rsidRDefault="00FC6D61" w:rsidP="008C3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na rok 2018</w:t>
            </w:r>
          </w:p>
        </w:tc>
        <w:tc>
          <w:tcPr>
            <w:tcW w:w="1722" w:type="dxa"/>
          </w:tcPr>
          <w:p w:rsidR="008C3C29" w:rsidRPr="004831A1" w:rsidRDefault="00FC6D61" w:rsidP="008C3C2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Rozpočet na rok 2019</w:t>
            </w:r>
          </w:p>
        </w:tc>
      </w:tr>
      <w:tr w:rsidR="008C3C29" w:rsidRPr="00862605" w:rsidTr="004E6DD6">
        <w:tc>
          <w:tcPr>
            <w:tcW w:w="2341" w:type="dxa"/>
            <w:shd w:val="clear" w:color="auto" w:fill="BFBFBF" w:themeFill="background1" w:themeFillShade="BF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Výdavky celkom</w:t>
            </w:r>
          </w:p>
        </w:tc>
        <w:tc>
          <w:tcPr>
            <w:tcW w:w="1736" w:type="dxa"/>
            <w:shd w:val="clear" w:color="auto" w:fill="BFBFBF" w:themeFill="background1" w:themeFillShade="BF"/>
          </w:tcPr>
          <w:p w:rsidR="008C3C29" w:rsidRPr="004831A1" w:rsidRDefault="00FC6D61" w:rsidP="00787FD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130 749,83</w:t>
            </w:r>
          </w:p>
        </w:tc>
        <w:tc>
          <w:tcPr>
            <w:tcW w:w="1843" w:type="dxa"/>
            <w:shd w:val="clear" w:color="auto" w:fill="BFBFBF" w:themeFill="background1" w:themeFillShade="BF"/>
          </w:tcPr>
          <w:p w:rsidR="008C3C29" w:rsidRPr="004831A1" w:rsidRDefault="004831A1" w:rsidP="00D33A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D33A13">
              <w:rPr>
                <w:b/>
                <w:sz w:val="24"/>
                <w:szCs w:val="24"/>
              </w:rPr>
              <w:t>9 496,00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8C3C29" w:rsidRPr="004831A1" w:rsidRDefault="00D33A13" w:rsidP="00D33A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137 521,00</w:t>
            </w:r>
          </w:p>
        </w:tc>
        <w:tc>
          <w:tcPr>
            <w:tcW w:w="1722" w:type="dxa"/>
            <w:shd w:val="clear" w:color="auto" w:fill="BFBFBF" w:themeFill="background1" w:themeFillShade="BF"/>
          </w:tcPr>
          <w:p w:rsidR="008C3C29" w:rsidRPr="004831A1" w:rsidRDefault="00D33A13" w:rsidP="00D33A13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138 521,00</w:t>
            </w:r>
            <w:r w:rsidR="004831A1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8C3C29" w:rsidRPr="008C3C29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Z toho:</w:t>
            </w:r>
          </w:p>
        </w:tc>
        <w:tc>
          <w:tcPr>
            <w:tcW w:w="1736" w:type="dxa"/>
          </w:tcPr>
          <w:p w:rsidR="008C3C29" w:rsidRPr="004831A1" w:rsidRDefault="008C3C29" w:rsidP="00787FDB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8C3C29" w:rsidRPr="004831A1" w:rsidRDefault="008C3C29" w:rsidP="00D33A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C3C29" w:rsidRPr="004831A1" w:rsidRDefault="008C3C29" w:rsidP="00D33A13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1722" w:type="dxa"/>
          </w:tcPr>
          <w:p w:rsidR="008C3C29" w:rsidRPr="004831A1" w:rsidRDefault="008C3C29" w:rsidP="00D33A13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8C3C29" w:rsidRPr="008C3C29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Bežné výdavky</w:t>
            </w:r>
          </w:p>
        </w:tc>
        <w:tc>
          <w:tcPr>
            <w:tcW w:w="1736" w:type="dxa"/>
          </w:tcPr>
          <w:p w:rsidR="008C3C29" w:rsidRPr="004831A1" w:rsidRDefault="00FC6D61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121 532,96</w:t>
            </w:r>
          </w:p>
        </w:tc>
        <w:tc>
          <w:tcPr>
            <w:tcW w:w="1843" w:type="dxa"/>
          </w:tcPr>
          <w:p w:rsidR="008C3C29" w:rsidRPr="004831A1" w:rsidRDefault="00787FDB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126 996,00</w:t>
            </w:r>
          </w:p>
        </w:tc>
        <w:tc>
          <w:tcPr>
            <w:tcW w:w="1701" w:type="dxa"/>
          </w:tcPr>
          <w:p w:rsidR="008C3C29" w:rsidRPr="004831A1" w:rsidRDefault="00D33A13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135 021,00</w:t>
            </w:r>
          </w:p>
        </w:tc>
        <w:tc>
          <w:tcPr>
            <w:tcW w:w="1722" w:type="dxa"/>
          </w:tcPr>
          <w:p w:rsidR="008C3C29" w:rsidRPr="004831A1" w:rsidRDefault="00D33A13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136 021,00</w:t>
            </w:r>
          </w:p>
        </w:tc>
      </w:tr>
      <w:tr w:rsidR="004831A1" w:rsidRPr="004831A1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Kapitálové výdavky</w:t>
            </w:r>
          </w:p>
        </w:tc>
        <w:tc>
          <w:tcPr>
            <w:tcW w:w="1736" w:type="dxa"/>
          </w:tcPr>
          <w:p w:rsidR="008C3C29" w:rsidRPr="004831A1" w:rsidRDefault="008C3C29" w:rsidP="00787FDB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 xml:space="preserve">    </w:t>
            </w:r>
            <w:r w:rsidR="00FC6D61">
              <w:rPr>
                <w:sz w:val="24"/>
                <w:szCs w:val="24"/>
              </w:rPr>
              <w:t>1 983,34</w:t>
            </w:r>
          </w:p>
        </w:tc>
        <w:tc>
          <w:tcPr>
            <w:tcW w:w="1843" w:type="dxa"/>
          </w:tcPr>
          <w:p w:rsidR="008C3C29" w:rsidRPr="004831A1" w:rsidRDefault="00787FDB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</w:tcPr>
          <w:p w:rsidR="008C3C29" w:rsidRPr="004831A1" w:rsidRDefault="008C3C29" w:rsidP="00D33A13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D33A13">
              <w:rPr>
                <w:sz w:val="24"/>
                <w:szCs w:val="24"/>
              </w:rPr>
              <w:t>,00</w:t>
            </w:r>
          </w:p>
        </w:tc>
        <w:tc>
          <w:tcPr>
            <w:tcW w:w="1722" w:type="dxa"/>
          </w:tcPr>
          <w:p w:rsidR="008C3C29" w:rsidRPr="004831A1" w:rsidRDefault="008C3C29" w:rsidP="00D33A13">
            <w:pPr>
              <w:jc w:val="right"/>
              <w:rPr>
                <w:sz w:val="24"/>
                <w:szCs w:val="24"/>
              </w:rPr>
            </w:pPr>
            <w:r w:rsidRPr="004831A1">
              <w:rPr>
                <w:sz w:val="24"/>
                <w:szCs w:val="24"/>
              </w:rPr>
              <w:t>0</w:t>
            </w:r>
            <w:r w:rsidR="00D33A13">
              <w:rPr>
                <w:sz w:val="24"/>
                <w:szCs w:val="24"/>
              </w:rPr>
              <w:t>,00</w:t>
            </w:r>
          </w:p>
        </w:tc>
      </w:tr>
      <w:tr w:rsidR="004831A1" w:rsidRPr="004831A1" w:rsidTr="000C67FF">
        <w:tc>
          <w:tcPr>
            <w:tcW w:w="2341" w:type="dxa"/>
          </w:tcPr>
          <w:p w:rsidR="008C3C29" w:rsidRPr="004831A1" w:rsidRDefault="008C3C29" w:rsidP="008C3C29">
            <w:pPr>
              <w:rPr>
                <w:b/>
                <w:sz w:val="24"/>
                <w:szCs w:val="24"/>
              </w:rPr>
            </w:pPr>
            <w:r w:rsidRPr="004831A1">
              <w:rPr>
                <w:b/>
                <w:sz w:val="24"/>
                <w:szCs w:val="24"/>
              </w:rPr>
              <w:t>Finančné výdavky</w:t>
            </w:r>
          </w:p>
        </w:tc>
        <w:tc>
          <w:tcPr>
            <w:tcW w:w="1736" w:type="dxa"/>
          </w:tcPr>
          <w:p w:rsidR="008C3C29" w:rsidRPr="004831A1" w:rsidRDefault="00FC6D61" w:rsidP="00787FD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7 233,53</w:t>
            </w:r>
          </w:p>
        </w:tc>
        <w:tc>
          <w:tcPr>
            <w:tcW w:w="1843" w:type="dxa"/>
          </w:tcPr>
          <w:p w:rsidR="008C3C29" w:rsidRPr="004831A1" w:rsidRDefault="00787FDB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1701" w:type="dxa"/>
          </w:tcPr>
          <w:p w:rsidR="008C3C29" w:rsidRPr="004831A1" w:rsidRDefault="00D33A13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  <w:tc>
          <w:tcPr>
            <w:tcW w:w="1722" w:type="dxa"/>
          </w:tcPr>
          <w:p w:rsidR="008C3C29" w:rsidRPr="004831A1" w:rsidRDefault="00D33A13" w:rsidP="00D33A1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2 500,00</w:t>
            </w:r>
          </w:p>
        </w:tc>
      </w:tr>
    </w:tbl>
    <w:p w:rsidR="008C3C29" w:rsidRPr="008C3C29" w:rsidRDefault="008C3C29" w:rsidP="008C3C29">
      <w:pPr>
        <w:tabs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E81" w:rsidRPr="009555B3" w:rsidRDefault="00651E81" w:rsidP="0065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Obec v celkovom objeme hospodárenia rozpočtu v skutočnosti dosiahla v roku 2016 sumu   </w:t>
      </w:r>
      <w:r w:rsidRPr="009555B3">
        <w:rPr>
          <w:rFonts w:ascii="Times New Roman" w:eastAsia="Times New Roman" w:hAnsi="Times New Roman" w:cs="Times New Roman"/>
          <w:b/>
          <w:sz w:val="24"/>
          <w:szCs w:val="24"/>
        </w:rPr>
        <w:t>8 168,21 eur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51E81" w:rsidRPr="009555B3" w:rsidRDefault="00651E81" w:rsidP="0065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E81" w:rsidRPr="009555B3" w:rsidRDefault="00651E81" w:rsidP="0065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 xml:space="preserve">Zostatok finančných prostriedkov za rok 2016 po vylúčení nevyčerpaných prostriedkov prijatých od subjektov mimo VS je vo výške (8 168,21 – 620,81)  </w:t>
      </w:r>
      <w:r w:rsidRPr="009555B3">
        <w:rPr>
          <w:rFonts w:ascii="Times New Roman" w:eastAsia="Times New Roman" w:hAnsi="Times New Roman" w:cs="Times New Roman"/>
          <w:b/>
          <w:sz w:val="24"/>
          <w:szCs w:val="24"/>
        </w:rPr>
        <w:t xml:space="preserve">7 547,40 eur.  </w:t>
      </w:r>
      <w:r w:rsidRPr="009555B3">
        <w:rPr>
          <w:rFonts w:ascii="Times New Roman" w:eastAsia="Times New Roman" w:hAnsi="Times New Roman" w:cs="Times New Roman"/>
          <w:sz w:val="24"/>
          <w:szCs w:val="24"/>
        </w:rPr>
        <w:t>Suma</w:t>
      </w:r>
    </w:p>
    <w:p w:rsidR="00651E81" w:rsidRPr="009555B3" w:rsidRDefault="00651E81" w:rsidP="0065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sz w:val="24"/>
          <w:szCs w:val="24"/>
        </w:rPr>
        <w:t>620,81 eur je suma 2 % daní MŠ.</w:t>
      </w:r>
    </w:p>
    <w:p w:rsidR="00651E81" w:rsidRPr="009555B3" w:rsidRDefault="00651E81" w:rsidP="00651E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1E81" w:rsidRPr="009555B3" w:rsidRDefault="00651E81" w:rsidP="00651E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55B3">
        <w:rPr>
          <w:rFonts w:ascii="Times New Roman" w:eastAsia="Times New Roman" w:hAnsi="Times New Roman" w:cs="Times New Roman"/>
          <w:b/>
          <w:sz w:val="24"/>
          <w:szCs w:val="24"/>
        </w:rPr>
        <w:t>Z prebytku hospodárenia bude vytvorený rezervný fond vo výške 7 547,40 eur.</w:t>
      </w:r>
    </w:p>
    <w:p w:rsidR="008C3C29" w:rsidRPr="008C3C29" w:rsidRDefault="008C3C29" w:rsidP="008C3C29">
      <w:pPr>
        <w:tabs>
          <w:tab w:val="right" w:pos="77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8C3C29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</w:p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C3C2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3. Informácia o vývoji obce z pohľadu účtovníctva</w:t>
      </w:r>
    </w:p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8C3C29">
        <w:rPr>
          <w:rFonts w:ascii="Times New Roman" w:eastAsia="Times New Roman" w:hAnsi="Times New Roman" w:cs="Times New Roman"/>
          <w:b/>
          <w:lang w:eastAsia="sk-SK"/>
        </w:rPr>
        <w:t>3.1 Majetok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59"/>
        <w:gridCol w:w="1415"/>
        <w:gridCol w:w="1440"/>
        <w:gridCol w:w="1440"/>
      </w:tblGrid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Názov</w:t>
            </w:r>
          </w:p>
        </w:tc>
        <w:tc>
          <w:tcPr>
            <w:tcW w:w="1559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Skutočnosť</w:t>
            </w:r>
          </w:p>
          <w:p w:rsidR="008C3C29" w:rsidRPr="008C3C29" w:rsidRDefault="008C3C29" w:rsidP="00D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k 31.12. 201</w:t>
            </w:r>
            <w:r w:rsidR="00D33A13">
              <w:rPr>
                <w:rFonts w:ascii="Times New Roman" w:eastAsia="Times New Roman" w:hAnsi="Times New Roman" w:cs="Times New Roman"/>
                <w:b/>
                <w:lang w:eastAsia="sk-SK"/>
              </w:rPr>
              <w:t>5</w:t>
            </w:r>
          </w:p>
        </w:tc>
        <w:tc>
          <w:tcPr>
            <w:tcW w:w="1415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Skutočnosť</w:t>
            </w:r>
          </w:p>
          <w:p w:rsidR="008C3C29" w:rsidRPr="008C3C29" w:rsidRDefault="008C3C29" w:rsidP="00D33A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k 31.12.201</w:t>
            </w:r>
            <w:r w:rsidR="00D33A13">
              <w:rPr>
                <w:rFonts w:ascii="Times New Roman" w:eastAsia="Times New Roman" w:hAnsi="Times New Roman" w:cs="Times New Roman"/>
                <w:b/>
                <w:lang w:eastAsia="sk-SK"/>
              </w:rPr>
              <w:t>6</w:t>
            </w:r>
          </w:p>
        </w:tc>
        <w:tc>
          <w:tcPr>
            <w:tcW w:w="1440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Predpoklad</w:t>
            </w:r>
          </w:p>
          <w:p w:rsidR="008C3C29" w:rsidRPr="008C3C29" w:rsidRDefault="008C3C29" w:rsidP="0086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rok 201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7</w:t>
            </w:r>
          </w:p>
        </w:tc>
        <w:tc>
          <w:tcPr>
            <w:tcW w:w="1440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Predpoklad</w:t>
            </w:r>
          </w:p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rok 201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8</w:t>
            </w:r>
          </w:p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8C3C29" w:rsidRPr="008C3C29" w:rsidTr="004E6DD6">
        <w:tc>
          <w:tcPr>
            <w:tcW w:w="3756" w:type="dxa"/>
            <w:shd w:val="clear" w:color="auto" w:fill="808080" w:themeFill="background1" w:themeFillShade="80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Majetok spolu</w:t>
            </w:r>
          </w:p>
        </w:tc>
        <w:tc>
          <w:tcPr>
            <w:tcW w:w="1559" w:type="dxa"/>
            <w:shd w:val="clear" w:color="auto" w:fill="808080" w:themeFill="background1" w:themeFillShade="80"/>
          </w:tcPr>
          <w:p w:rsidR="008C3C29" w:rsidRPr="00FE616C" w:rsidRDefault="00525C30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20</w:t>
            </w:r>
            <w:r w:rsidR="00D33A13">
              <w:rPr>
                <w:rFonts w:ascii="Times New Roman" w:eastAsia="Times New Roman" w:hAnsi="Times New Roman" w:cs="Times New Roman"/>
                <w:b/>
                <w:lang w:eastAsia="sk-SK"/>
              </w:rPr>
              <w:t>7 076,20</w:t>
            </w:r>
          </w:p>
        </w:tc>
        <w:tc>
          <w:tcPr>
            <w:tcW w:w="1415" w:type="dxa"/>
            <w:shd w:val="clear" w:color="auto" w:fill="808080" w:themeFill="background1" w:themeFillShade="80"/>
          </w:tcPr>
          <w:p w:rsidR="008C3C29" w:rsidRPr="00FE616C" w:rsidRDefault="00D33A13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238 197,08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8C3C29" w:rsidRPr="00FE616C" w:rsidRDefault="00525C30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2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38 197,08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238 197,08</w:t>
            </w:r>
          </w:p>
        </w:tc>
      </w:tr>
      <w:tr w:rsidR="008C3C29" w:rsidRPr="008C3C29" w:rsidTr="004E6DD6">
        <w:tc>
          <w:tcPr>
            <w:tcW w:w="3756" w:type="dxa"/>
            <w:shd w:val="clear" w:color="auto" w:fill="D9D9D9" w:themeFill="background1" w:themeFillShade="D9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Neobežný majetok spolu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C3C29" w:rsidRPr="00FE616C" w:rsidRDefault="00D33A13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195 723,39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8C3C29" w:rsidRPr="00FE616C" w:rsidRDefault="00D33A13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221 534,96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221 534,96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221 534,96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1559" w:type="dxa"/>
          </w:tcPr>
          <w:p w:rsidR="008C3C29" w:rsidRPr="008C3C29" w:rsidRDefault="008C3C29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15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E616C" w:rsidRPr="008C3C29" w:rsidTr="00FE616C">
        <w:trPr>
          <w:trHeight w:hRule="exact" w:val="369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Dlhodobý nehmotný majetok</w:t>
            </w:r>
          </w:p>
        </w:tc>
        <w:tc>
          <w:tcPr>
            <w:tcW w:w="1559" w:type="dxa"/>
          </w:tcPr>
          <w:p w:rsidR="00FE616C" w:rsidRPr="008C3C29" w:rsidRDefault="00FE616C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lang w:eastAsia="sk-SK"/>
              </w:rPr>
              <w:t>,00</w:t>
            </w:r>
          </w:p>
        </w:tc>
        <w:tc>
          <w:tcPr>
            <w:tcW w:w="1415" w:type="dxa"/>
          </w:tcPr>
          <w:p w:rsidR="00FE616C" w:rsidRDefault="00FE616C" w:rsidP="00867C6E">
            <w:pPr>
              <w:jc w:val="right"/>
            </w:pPr>
            <w:r w:rsidRPr="0056322C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56322C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56322C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Dlhodobý hmotný majetok</w:t>
            </w:r>
          </w:p>
        </w:tc>
        <w:tc>
          <w:tcPr>
            <w:tcW w:w="1559" w:type="dxa"/>
          </w:tcPr>
          <w:p w:rsidR="008C3C29" w:rsidRPr="008C3C29" w:rsidRDefault="00D33A13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134 779,35</w:t>
            </w:r>
          </w:p>
        </w:tc>
        <w:tc>
          <w:tcPr>
            <w:tcW w:w="1415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160 598,12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160 598,12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160 598,12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Dlhodobý finančný majetok</w:t>
            </w:r>
          </w:p>
        </w:tc>
        <w:tc>
          <w:tcPr>
            <w:tcW w:w="1559" w:type="dxa"/>
          </w:tcPr>
          <w:p w:rsidR="008C3C29" w:rsidRPr="008C3C29" w:rsidRDefault="008C3C29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60</w:t>
            </w:r>
            <w:r w:rsidR="00D33A13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944,04</w:t>
            </w:r>
          </w:p>
        </w:tc>
        <w:tc>
          <w:tcPr>
            <w:tcW w:w="1415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60 936,84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60 936,84</w:t>
            </w:r>
          </w:p>
        </w:tc>
        <w:tc>
          <w:tcPr>
            <w:tcW w:w="1440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60</w:t>
            </w:r>
            <w:r w:rsidR="00867C6E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9</w:t>
            </w:r>
            <w:r w:rsidR="00867C6E">
              <w:rPr>
                <w:rFonts w:ascii="Times New Roman" w:eastAsia="Times New Roman" w:hAnsi="Times New Roman" w:cs="Times New Roman"/>
                <w:lang w:eastAsia="sk-SK"/>
              </w:rPr>
              <w:t>36,84</w:t>
            </w:r>
          </w:p>
        </w:tc>
      </w:tr>
      <w:tr w:rsidR="008C3C29" w:rsidRPr="008C3C29" w:rsidTr="004E6DD6">
        <w:tc>
          <w:tcPr>
            <w:tcW w:w="3756" w:type="dxa"/>
            <w:shd w:val="clear" w:color="auto" w:fill="D9D9D9" w:themeFill="background1" w:themeFillShade="D9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Obežný majetok spolu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8C3C29" w:rsidRPr="00FE616C" w:rsidRDefault="00D33A13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11 255,61</w:t>
            </w:r>
          </w:p>
        </w:tc>
        <w:tc>
          <w:tcPr>
            <w:tcW w:w="1415" w:type="dxa"/>
            <w:shd w:val="clear" w:color="auto" w:fill="D9D9D9" w:themeFill="background1" w:themeFillShade="D9"/>
          </w:tcPr>
          <w:p w:rsidR="008C3C29" w:rsidRPr="00FE616C" w:rsidRDefault="00525C30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1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6 564,92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16 564,92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8C3C29" w:rsidRPr="00FE616C" w:rsidRDefault="00525C30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1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6 564,92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1559" w:type="dxa"/>
          </w:tcPr>
          <w:p w:rsidR="008C3C29" w:rsidRPr="008C3C29" w:rsidRDefault="008C3C29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15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E616C" w:rsidRPr="008C3C29" w:rsidTr="00FE616C">
        <w:trPr>
          <w:trHeight w:hRule="exact" w:val="369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Zásoby</w:t>
            </w:r>
          </w:p>
        </w:tc>
        <w:tc>
          <w:tcPr>
            <w:tcW w:w="1559" w:type="dxa"/>
          </w:tcPr>
          <w:p w:rsidR="00FE616C" w:rsidRDefault="00FE616C" w:rsidP="00D33A13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15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FE616C" w:rsidRPr="008C3C29" w:rsidTr="00FE616C">
        <w:trPr>
          <w:trHeight w:hRule="exact" w:val="369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Zúčtovanie medzi </w:t>
            </w:r>
            <w:proofErr w:type="spellStart"/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subjektami</w:t>
            </w:r>
            <w:proofErr w:type="spellEnd"/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 VS</w:t>
            </w:r>
          </w:p>
        </w:tc>
        <w:tc>
          <w:tcPr>
            <w:tcW w:w="1559" w:type="dxa"/>
          </w:tcPr>
          <w:p w:rsidR="00FE616C" w:rsidRDefault="00FE616C" w:rsidP="00D33A13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15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FE616C" w:rsidRPr="008C3C29" w:rsidTr="00FE616C">
        <w:trPr>
          <w:trHeight w:hRule="exact" w:val="369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Dlhodobé pohľadávky</w:t>
            </w:r>
          </w:p>
        </w:tc>
        <w:tc>
          <w:tcPr>
            <w:tcW w:w="1559" w:type="dxa"/>
          </w:tcPr>
          <w:p w:rsidR="00FE616C" w:rsidRDefault="00FE616C" w:rsidP="00D33A13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15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4B510E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Krátkodobé pohľadávky </w:t>
            </w:r>
          </w:p>
        </w:tc>
        <w:tc>
          <w:tcPr>
            <w:tcW w:w="1559" w:type="dxa"/>
          </w:tcPr>
          <w:p w:rsidR="008C3C29" w:rsidRPr="008C3C29" w:rsidRDefault="00D33A13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887,73</w:t>
            </w:r>
          </w:p>
        </w:tc>
        <w:tc>
          <w:tcPr>
            <w:tcW w:w="1415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1 347,22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1 347,22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1 347,22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Finančné účty </w:t>
            </w:r>
          </w:p>
        </w:tc>
        <w:tc>
          <w:tcPr>
            <w:tcW w:w="1559" w:type="dxa"/>
          </w:tcPr>
          <w:p w:rsidR="008C3C29" w:rsidRPr="008C3C29" w:rsidRDefault="00D33A13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10 367,88</w:t>
            </w:r>
          </w:p>
        </w:tc>
        <w:tc>
          <w:tcPr>
            <w:tcW w:w="1415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15 217,70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15 217,70</w:t>
            </w:r>
          </w:p>
        </w:tc>
        <w:tc>
          <w:tcPr>
            <w:tcW w:w="1440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15 217,70</w:t>
            </w:r>
          </w:p>
        </w:tc>
      </w:tr>
      <w:tr w:rsidR="00FE616C" w:rsidRPr="008C3C29" w:rsidTr="00FE616C">
        <w:trPr>
          <w:trHeight w:hRule="exact" w:val="369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dlh.</w:t>
            </w:r>
          </w:p>
        </w:tc>
        <w:tc>
          <w:tcPr>
            <w:tcW w:w="1559" w:type="dxa"/>
          </w:tcPr>
          <w:p w:rsidR="00FE616C" w:rsidRDefault="00FE616C" w:rsidP="00D33A13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15" w:type="dxa"/>
          </w:tcPr>
          <w:p w:rsidR="00FE616C" w:rsidRDefault="00FE616C" w:rsidP="00867C6E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FE616C" w:rsidRPr="008C3C29" w:rsidTr="00FE616C">
        <w:trPr>
          <w:trHeight w:hRule="exact" w:val="369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Poskytnuté návratné fin. výpomoci krát.</w:t>
            </w:r>
          </w:p>
        </w:tc>
        <w:tc>
          <w:tcPr>
            <w:tcW w:w="1559" w:type="dxa"/>
          </w:tcPr>
          <w:p w:rsidR="00FE616C" w:rsidRDefault="00FE616C" w:rsidP="00D33A13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15" w:type="dxa"/>
          </w:tcPr>
          <w:p w:rsidR="00FE616C" w:rsidRDefault="00FE616C" w:rsidP="00867C6E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867C6E">
            <w:pPr>
              <w:jc w:val="right"/>
            </w:pPr>
            <w:r w:rsidRPr="00185A81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8C3C29" w:rsidRPr="008C3C29" w:rsidTr="004E6DD6">
        <w:tc>
          <w:tcPr>
            <w:tcW w:w="3756" w:type="dxa"/>
            <w:shd w:val="clear" w:color="auto" w:fill="BFBFBF" w:themeFill="background1" w:themeFillShade="BF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Časové rozlíšenie 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8C3C29" w:rsidRPr="00FE616C" w:rsidRDefault="00D33A13" w:rsidP="00D33A13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97,20</w:t>
            </w:r>
          </w:p>
        </w:tc>
        <w:tc>
          <w:tcPr>
            <w:tcW w:w="1415" w:type="dxa"/>
            <w:shd w:val="clear" w:color="auto" w:fill="BFBFBF" w:themeFill="background1" w:themeFillShade="BF"/>
          </w:tcPr>
          <w:p w:rsidR="008C3C29" w:rsidRPr="00FE616C" w:rsidRDefault="00525C30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97,20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FE616C" w:rsidRDefault="00525C30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97,20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FE616C" w:rsidRDefault="00525C30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lang w:eastAsia="sk-SK"/>
              </w:rPr>
              <w:t>97,20</w:t>
            </w:r>
          </w:p>
        </w:tc>
      </w:tr>
    </w:tbl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</w:p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8C3C29">
        <w:rPr>
          <w:rFonts w:ascii="Times New Roman" w:eastAsia="Times New Roman" w:hAnsi="Times New Roman" w:cs="Times New Roman"/>
          <w:b/>
          <w:lang w:eastAsia="sk-SK"/>
        </w:rPr>
        <w:lastRenderedPageBreak/>
        <w:t>3.2 Zdroje krytia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534"/>
        <w:gridCol w:w="1440"/>
        <w:gridCol w:w="1440"/>
        <w:gridCol w:w="1440"/>
      </w:tblGrid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Názov</w:t>
            </w:r>
          </w:p>
        </w:tc>
        <w:tc>
          <w:tcPr>
            <w:tcW w:w="1534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Skutočnosť</w:t>
            </w:r>
          </w:p>
          <w:p w:rsidR="008C3C29" w:rsidRPr="008C3C29" w:rsidRDefault="008C3C29" w:rsidP="0086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k 31.12. 201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5</w:t>
            </w:r>
          </w:p>
        </w:tc>
        <w:tc>
          <w:tcPr>
            <w:tcW w:w="1440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Skutočnosť</w:t>
            </w:r>
          </w:p>
          <w:p w:rsidR="008C3C29" w:rsidRPr="008C3C29" w:rsidRDefault="008C3C29" w:rsidP="00867C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k  31.12.201</w:t>
            </w:r>
            <w:r w:rsidR="00867C6E">
              <w:rPr>
                <w:rFonts w:ascii="Times New Roman" w:eastAsia="Times New Roman" w:hAnsi="Times New Roman" w:cs="Times New Roman"/>
                <w:b/>
                <w:lang w:eastAsia="sk-SK"/>
              </w:rPr>
              <w:t>6</w:t>
            </w:r>
          </w:p>
        </w:tc>
        <w:tc>
          <w:tcPr>
            <w:tcW w:w="1440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Predpoklad</w:t>
            </w:r>
          </w:p>
          <w:p w:rsidR="008C3C29" w:rsidRPr="008C3C29" w:rsidRDefault="00525C30" w:rsidP="0090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rok 201</w:t>
            </w:r>
            <w:r w:rsidR="00906F29">
              <w:rPr>
                <w:rFonts w:ascii="Times New Roman" w:eastAsia="Times New Roman" w:hAnsi="Times New Roman" w:cs="Times New Roman"/>
                <w:b/>
                <w:lang w:eastAsia="sk-SK"/>
              </w:rPr>
              <w:t>7</w:t>
            </w:r>
          </w:p>
        </w:tc>
        <w:tc>
          <w:tcPr>
            <w:tcW w:w="1440" w:type="dxa"/>
          </w:tcPr>
          <w:p w:rsidR="008C3C29" w:rsidRPr="008C3C29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Predpoklad</w:t>
            </w:r>
          </w:p>
          <w:p w:rsidR="008C3C29" w:rsidRPr="008C3C29" w:rsidRDefault="00525C30" w:rsidP="0090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rok 201</w:t>
            </w:r>
            <w:r w:rsidR="00906F29">
              <w:rPr>
                <w:rFonts w:ascii="Times New Roman" w:eastAsia="Times New Roman" w:hAnsi="Times New Roman" w:cs="Times New Roman"/>
                <w:b/>
                <w:lang w:eastAsia="sk-SK"/>
              </w:rPr>
              <w:t>8</w:t>
            </w:r>
          </w:p>
        </w:tc>
      </w:tr>
      <w:tr w:rsidR="008C3C29" w:rsidRPr="008C3C29" w:rsidTr="004E6DD6">
        <w:tc>
          <w:tcPr>
            <w:tcW w:w="3756" w:type="dxa"/>
            <w:shd w:val="clear" w:color="auto" w:fill="808080" w:themeFill="background1" w:themeFillShade="80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Vlastné imanie a záväzky spolu</w:t>
            </w:r>
          </w:p>
        </w:tc>
        <w:tc>
          <w:tcPr>
            <w:tcW w:w="1534" w:type="dxa"/>
            <w:shd w:val="clear" w:color="auto" w:fill="808080" w:themeFill="background1" w:themeFillShade="80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207 076,20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8C3C29" w:rsidRPr="00FE616C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238 197,08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8C3C29" w:rsidRPr="00FE616C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238 197,08</w:t>
            </w:r>
          </w:p>
        </w:tc>
        <w:tc>
          <w:tcPr>
            <w:tcW w:w="1440" w:type="dxa"/>
            <w:shd w:val="clear" w:color="auto" w:fill="808080" w:themeFill="background1" w:themeFillShade="80"/>
          </w:tcPr>
          <w:p w:rsidR="008C3C29" w:rsidRPr="00FE616C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238 197,08</w:t>
            </w:r>
          </w:p>
        </w:tc>
      </w:tr>
      <w:tr w:rsidR="003C6B8B" w:rsidRPr="003C6B8B" w:rsidTr="004E6DD6">
        <w:tc>
          <w:tcPr>
            <w:tcW w:w="3756" w:type="dxa"/>
            <w:shd w:val="clear" w:color="auto" w:fill="BFBFBF" w:themeFill="background1" w:themeFillShade="BF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Vlastné imanie 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107 579,04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FE616C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166 821,97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EA4641" w:rsidRDefault="003C6B8B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b/>
                <w:lang w:eastAsia="sk-SK"/>
              </w:rPr>
              <w:t>170 688,78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EA4641" w:rsidRDefault="003C6B8B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b/>
                <w:lang w:eastAsia="sk-SK"/>
              </w:rPr>
              <w:t>174 555,59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1534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E616C" w:rsidRPr="008C3C29" w:rsidTr="00FE616C">
        <w:trPr>
          <w:trHeight w:hRule="exact" w:val="397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Oceňovacie rozdiely </w:t>
            </w:r>
          </w:p>
        </w:tc>
        <w:tc>
          <w:tcPr>
            <w:tcW w:w="1534" w:type="dxa"/>
          </w:tcPr>
          <w:p w:rsidR="00FE616C" w:rsidRDefault="00FE616C" w:rsidP="00867C6E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FE616C" w:rsidRPr="008C3C29" w:rsidTr="00FE616C">
        <w:trPr>
          <w:trHeight w:hRule="exact" w:val="397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Fondy</w:t>
            </w:r>
          </w:p>
        </w:tc>
        <w:tc>
          <w:tcPr>
            <w:tcW w:w="1534" w:type="dxa"/>
          </w:tcPr>
          <w:p w:rsidR="00FE616C" w:rsidRDefault="00FE616C" w:rsidP="00867C6E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2D55BB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Výsledok hospodárenia </w:t>
            </w:r>
          </w:p>
        </w:tc>
        <w:tc>
          <w:tcPr>
            <w:tcW w:w="1534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107 579,04</w:t>
            </w:r>
          </w:p>
        </w:tc>
        <w:tc>
          <w:tcPr>
            <w:tcW w:w="1440" w:type="dxa"/>
          </w:tcPr>
          <w:p w:rsidR="008C3C29" w:rsidRPr="008C3C29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166 821,97</w:t>
            </w:r>
          </w:p>
        </w:tc>
        <w:tc>
          <w:tcPr>
            <w:tcW w:w="1440" w:type="dxa"/>
          </w:tcPr>
          <w:p w:rsidR="008C3C29" w:rsidRPr="00EA4641" w:rsidRDefault="00906F29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lang w:eastAsia="sk-SK"/>
              </w:rPr>
              <w:t>1</w:t>
            </w:r>
            <w:r w:rsidR="003C6B8B" w:rsidRPr="00EA4641">
              <w:rPr>
                <w:rFonts w:ascii="Times New Roman" w:eastAsia="Times New Roman" w:hAnsi="Times New Roman" w:cs="Times New Roman"/>
                <w:lang w:eastAsia="sk-SK"/>
              </w:rPr>
              <w:t>70 688,78</w:t>
            </w:r>
          </w:p>
        </w:tc>
        <w:tc>
          <w:tcPr>
            <w:tcW w:w="1440" w:type="dxa"/>
          </w:tcPr>
          <w:p w:rsidR="008C3C29" w:rsidRPr="00EA4641" w:rsidRDefault="003C6B8B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lang w:eastAsia="sk-SK"/>
              </w:rPr>
              <w:t>174 555,59</w:t>
            </w:r>
          </w:p>
        </w:tc>
      </w:tr>
      <w:tr w:rsidR="008C3C29" w:rsidRPr="008C3C29" w:rsidTr="004E6DD6">
        <w:trPr>
          <w:trHeight w:val="452"/>
        </w:trPr>
        <w:tc>
          <w:tcPr>
            <w:tcW w:w="3756" w:type="dxa"/>
            <w:shd w:val="clear" w:color="auto" w:fill="BFBFBF" w:themeFill="background1" w:themeFillShade="BF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Záväzky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8C3C29" w:rsidRPr="00FE616C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25 467,54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FE616C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lang w:eastAsia="sk-SK"/>
              </w:rPr>
              <w:t>17 120,76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EA4641" w:rsidRDefault="00906F29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b/>
                <w:lang w:eastAsia="sk-SK"/>
              </w:rPr>
              <w:t>1</w:t>
            </w:r>
            <w:r w:rsidR="003C6B8B" w:rsidRPr="00EA4641">
              <w:rPr>
                <w:rFonts w:ascii="Times New Roman" w:eastAsia="Times New Roman" w:hAnsi="Times New Roman" w:cs="Times New Roman"/>
                <w:b/>
                <w:lang w:eastAsia="sk-SK"/>
              </w:rPr>
              <w:t>3 253,95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EA4641" w:rsidRDefault="003C6B8B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b/>
                <w:lang w:eastAsia="sk-SK"/>
              </w:rPr>
              <w:t>9 387,14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z toho :</w:t>
            </w:r>
          </w:p>
        </w:tc>
        <w:tc>
          <w:tcPr>
            <w:tcW w:w="1534" w:type="dxa"/>
          </w:tcPr>
          <w:p w:rsidR="008C3C29" w:rsidRPr="008C3C29" w:rsidRDefault="008C3C29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  <w:tc>
          <w:tcPr>
            <w:tcW w:w="1440" w:type="dxa"/>
          </w:tcPr>
          <w:p w:rsidR="008C3C29" w:rsidRPr="008C3C29" w:rsidRDefault="008C3C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</w:p>
        </w:tc>
      </w:tr>
      <w:tr w:rsidR="00FE616C" w:rsidRPr="008C3C29" w:rsidTr="00FE616C">
        <w:trPr>
          <w:trHeight w:hRule="exact" w:val="397"/>
        </w:trPr>
        <w:tc>
          <w:tcPr>
            <w:tcW w:w="3756" w:type="dxa"/>
          </w:tcPr>
          <w:p w:rsidR="00FE616C" w:rsidRPr="008C3C29" w:rsidRDefault="00FE616C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Rezervy </w:t>
            </w:r>
          </w:p>
        </w:tc>
        <w:tc>
          <w:tcPr>
            <w:tcW w:w="1534" w:type="dxa"/>
          </w:tcPr>
          <w:p w:rsidR="00FE616C" w:rsidRDefault="00FE616C" w:rsidP="00867C6E">
            <w:pPr>
              <w:jc w:val="right"/>
            </w:pPr>
            <w:r w:rsidRPr="00F14D19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F14D19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F14D19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  <w:tc>
          <w:tcPr>
            <w:tcW w:w="1440" w:type="dxa"/>
          </w:tcPr>
          <w:p w:rsidR="00FE616C" w:rsidRDefault="00FE616C" w:rsidP="00906F29">
            <w:pPr>
              <w:jc w:val="right"/>
            </w:pPr>
            <w:r w:rsidRPr="00F14D19">
              <w:rPr>
                <w:rFonts w:ascii="Times New Roman" w:eastAsia="Times New Roman" w:hAnsi="Times New Roman" w:cs="Times New Roman"/>
                <w:lang w:eastAsia="sk-SK"/>
              </w:rPr>
              <w:t>0,00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Zúčtovanie medzi </w:t>
            </w:r>
            <w:proofErr w:type="spellStart"/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subjektami</w:t>
            </w:r>
            <w:proofErr w:type="spellEnd"/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 xml:space="preserve"> VS</w:t>
            </w:r>
          </w:p>
        </w:tc>
        <w:tc>
          <w:tcPr>
            <w:tcW w:w="1534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3 349,19</w:t>
            </w:r>
          </w:p>
        </w:tc>
        <w:tc>
          <w:tcPr>
            <w:tcW w:w="1440" w:type="dxa"/>
          </w:tcPr>
          <w:p w:rsidR="008C3C29" w:rsidRPr="008C3C29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620,81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620,81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620,81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Dlhodobé záväzky</w:t>
            </w:r>
          </w:p>
        </w:tc>
        <w:tc>
          <w:tcPr>
            <w:tcW w:w="1534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1 206,75</w:t>
            </w:r>
          </w:p>
        </w:tc>
        <w:tc>
          <w:tcPr>
            <w:tcW w:w="1440" w:type="dxa"/>
          </w:tcPr>
          <w:p w:rsidR="008C3C29" w:rsidRPr="008C3C29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876,98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876,98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876,98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Krátkodobé záväzky</w:t>
            </w:r>
          </w:p>
        </w:tc>
        <w:tc>
          <w:tcPr>
            <w:tcW w:w="1534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5 136,38</w:t>
            </w:r>
          </w:p>
        </w:tc>
        <w:tc>
          <w:tcPr>
            <w:tcW w:w="1440" w:type="dxa"/>
          </w:tcPr>
          <w:p w:rsidR="008C3C29" w:rsidRPr="008C3C29" w:rsidRDefault="00867C6E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7 081,28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7 081,28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7 081,28</w:t>
            </w:r>
          </w:p>
        </w:tc>
      </w:tr>
      <w:tr w:rsidR="008C3C29" w:rsidRPr="008C3C29" w:rsidTr="000C67FF">
        <w:tc>
          <w:tcPr>
            <w:tcW w:w="3756" w:type="dxa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lang w:eastAsia="sk-SK"/>
              </w:rPr>
              <w:t>Bankové úvery a výpomoci</w:t>
            </w:r>
          </w:p>
        </w:tc>
        <w:tc>
          <w:tcPr>
            <w:tcW w:w="1534" w:type="dxa"/>
          </w:tcPr>
          <w:p w:rsidR="008C3C29" w:rsidRPr="008C3C29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15 775,22</w:t>
            </w:r>
          </w:p>
        </w:tc>
        <w:tc>
          <w:tcPr>
            <w:tcW w:w="1440" w:type="dxa"/>
          </w:tcPr>
          <w:p w:rsidR="008C3C29" w:rsidRPr="008C3C29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lang w:eastAsia="sk-SK"/>
              </w:rPr>
              <w:t>8 541,69</w:t>
            </w:r>
          </w:p>
        </w:tc>
        <w:tc>
          <w:tcPr>
            <w:tcW w:w="1440" w:type="dxa"/>
          </w:tcPr>
          <w:p w:rsidR="008C3C29" w:rsidRPr="00EA4641" w:rsidRDefault="003C6B8B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lang w:eastAsia="sk-SK"/>
              </w:rPr>
              <w:t>4 674,88</w:t>
            </w:r>
          </w:p>
        </w:tc>
        <w:tc>
          <w:tcPr>
            <w:tcW w:w="1440" w:type="dxa"/>
          </w:tcPr>
          <w:p w:rsidR="008C3C29" w:rsidRPr="00EA4641" w:rsidRDefault="003C6B8B" w:rsidP="003C6B8B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lang w:eastAsia="sk-SK"/>
              </w:rPr>
              <w:t xml:space="preserve"> </w:t>
            </w:r>
            <w:r w:rsidR="00906F29" w:rsidRPr="00EA4641">
              <w:rPr>
                <w:rFonts w:ascii="Times New Roman" w:eastAsia="Times New Roman" w:hAnsi="Times New Roman" w:cs="Times New Roman"/>
                <w:lang w:eastAsia="sk-SK"/>
              </w:rPr>
              <w:t> </w:t>
            </w:r>
            <w:r w:rsidRPr="00EA4641">
              <w:rPr>
                <w:rFonts w:ascii="Times New Roman" w:eastAsia="Times New Roman" w:hAnsi="Times New Roman" w:cs="Times New Roman"/>
                <w:lang w:eastAsia="sk-SK"/>
              </w:rPr>
              <w:t>808,07</w:t>
            </w:r>
          </w:p>
        </w:tc>
      </w:tr>
      <w:tr w:rsidR="008C3C29" w:rsidRPr="008C3C29" w:rsidTr="004E6DD6">
        <w:tc>
          <w:tcPr>
            <w:tcW w:w="3756" w:type="dxa"/>
            <w:shd w:val="clear" w:color="auto" w:fill="BFBFBF" w:themeFill="background1" w:themeFillShade="BF"/>
          </w:tcPr>
          <w:p w:rsidR="008C3C29" w:rsidRPr="008C3C29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lang w:eastAsia="sk-SK"/>
              </w:rPr>
            </w:pPr>
            <w:r w:rsidRPr="008C3C29">
              <w:rPr>
                <w:rFonts w:ascii="Times New Roman" w:eastAsia="Times New Roman" w:hAnsi="Times New Roman" w:cs="Times New Roman"/>
                <w:b/>
                <w:lang w:eastAsia="sk-SK"/>
              </w:rPr>
              <w:t>Časové rozlíšenie</w:t>
            </w:r>
          </w:p>
        </w:tc>
        <w:tc>
          <w:tcPr>
            <w:tcW w:w="1534" w:type="dxa"/>
            <w:shd w:val="clear" w:color="auto" w:fill="BFBFBF" w:themeFill="background1" w:themeFillShade="BF"/>
          </w:tcPr>
          <w:p w:rsidR="008C3C29" w:rsidRPr="003C6B8B" w:rsidRDefault="00867C6E" w:rsidP="00867C6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C6B8B">
              <w:rPr>
                <w:rFonts w:ascii="Times New Roman" w:eastAsia="Times New Roman" w:hAnsi="Times New Roman" w:cs="Times New Roman"/>
                <w:b/>
                <w:lang w:eastAsia="sk-SK"/>
              </w:rPr>
              <w:t>74 029,62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3C6B8B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C6B8B">
              <w:rPr>
                <w:rFonts w:ascii="Times New Roman" w:eastAsia="Times New Roman" w:hAnsi="Times New Roman" w:cs="Times New Roman"/>
                <w:b/>
                <w:lang w:eastAsia="sk-SK"/>
              </w:rPr>
              <w:t>54 254,35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3C6B8B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C6B8B">
              <w:rPr>
                <w:rFonts w:ascii="Times New Roman" w:eastAsia="Times New Roman" w:hAnsi="Times New Roman" w:cs="Times New Roman"/>
                <w:b/>
                <w:lang w:eastAsia="sk-SK"/>
              </w:rPr>
              <w:t>54 254,35</w:t>
            </w:r>
          </w:p>
        </w:tc>
        <w:tc>
          <w:tcPr>
            <w:tcW w:w="1440" w:type="dxa"/>
            <w:shd w:val="clear" w:color="auto" w:fill="BFBFBF" w:themeFill="background1" w:themeFillShade="BF"/>
          </w:tcPr>
          <w:p w:rsidR="008C3C29" w:rsidRPr="003C6B8B" w:rsidRDefault="00906F29" w:rsidP="00906F29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3C6B8B">
              <w:rPr>
                <w:rFonts w:ascii="Times New Roman" w:eastAsia="Times New Roman" w:hAnsi="Times New Roman" w:cs="Times New Roman"/>
                <w:b/>
                <w:lang w:eastAsia="sk-SK"/>
              </w:rPr>
              <w:t>54 254,35</w:t>
            </w:r>
          </w:p>
        </w:tc>
      </w:tr>
    </w:tbl>
    <w:p w:rsidR="008C3C29" w:rsidRP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:rsidR="008C3C29" w:rsidRPr="00965423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96542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4. Vývoj pohľadávok a záväzkov  v celých €</w:t>
      </w:r>
    </w:p>
    <w:p w:rsidR="008C3C29" w:rsidRPr="00965423" w:rsidRDefault="008C3C29" w:rsidP="008C3C29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54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4.1. Pohľadávky </w:t>
      </w:r>
    </w:p>
    <w:tbl>
      <w:tblPr>
        <w:tblW w:w="8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557"/>
        <w:gridCol w:w="1557"/>
      </w:tblGrid>
      <w:tr w:rsidR="00965423" w:rsidRPr="00965423" w:rsidTr="000C67FF">
        <w:tc>
          <w:tcPr>
            <w:tcW w:w="5103" w:type="dxa"/>
          </w:tcPr>
          <w:p w:rsidR="008C3C29" w:rsidRPr="00965423" w:rsidRDefault="008C3C29" w:rsidP="008C3C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 xml:space="preserve">Pohľadávky </w:t>
            </w:r>
          </w:p>
        </w:tc>
        <w:tc>
          <w:tcPr>
            <w:tcW w:w="1557" w:type="dxa"/>
          </w:tcPr>
          <w:p w:rsidR="008C3C29" w:rsidRPr="00965423" w:rsidRDefault="008C3C29" w:rsidP="008C3C29">
            <w:pPr>
              <w:tabs>
                <w:tab w:val="left" w:pos="117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Stav</w:t>
            </w:r>
          </w:p>
          <w:p w:rsidR="008C3C29" w:rsidRPr="00965423" w:rsidRDefault="008C3C29" w:rsidP="0090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31.12 201</w:t>
            </w:r>
            <w:r w:rsidR="0090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7" w:type="dxa"/>
          </w:tcPr>
          <w:p w:rsidR="008C3C29" w:rsidRPr="00965423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Stav</w:t>
            </w:r>
          </w:p>
          <w:p w:rsidR="008C3C29" w:rsidRPr="00965423" w:rsidRDefault="008C3C29" w:rsidP="00906F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31.12 201</w:t>
            </w:r>
            <w:r w:rsidR="0090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6</w:t>
            </w:r>
          </w:p>
        </w:tc>
      </w:tr>
      <w:tr w:rsidR="00965423" w:rsidRPr="00965423" w:rsidTr="000C67FF">
        <w:tc>
          <w:tcPr>
            <w:tcW w:w="5103" w:type="dxa"/>
          </w:tcPr>
          <w:p w:rsidR="008C3C29" w:rsidRPr="00965423" w:rsidRDefault="008C3C29" w:rsidP="008C3C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Pohľadávky do lehoty splatnosti  </w:t>
            </w:r>
          </w:p>
        </w:tc>
        <w:tc>
          <w:tcPr>
            <w:tcW w:w="1557" w:type="dxa"/>
          </w:tcPr>
          <w:p w:rsidR="008C3C29" w:rsidRPr="00965423" w:rsidRDefault="00FE616C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557" w:type="dxa"/>
          </w:tcPr>
          <w:p w:rsidR="008C3C29" w:rsidRPr="00EA4641" w:rsidRDefault="002A1D5F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741,21</w:t>
            </w:r>
          </w:p>
        </w:tc>
      </w:tr>
      <w:tr w:rsidR="00965423" w:rsidRPr="00965423" w:rsidTr="000C67FF">
        <w:tc>
          <w:tcPr>
            <w:tcW w:w="5103" w:type="dxa"/>
          </w:tcPr>
          <w:p w:rsidR="008C3C29" w:rsidRPr="00965423" w:rsidRDefault="008C3C29" w:rsidP="008C3C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Pohľadávky po lehote splatnosti  </w:t>
            </w:r>
          </w:p>
        </w:tc>
        <w:tc>
          <w:tcPr>
            <w:tcW w:w="1557" w:type="dxa"/>
          </w:tcPr>
          <w:p w:rsidR="008C3C29" w:rsidRPr="00965423" w:rsidRDefault="00906F29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1 021,24</w:t>
            </w:r>
          </w:p>
        </w:tc>
        <w:tc>
          <w:tcPr>
            <w:tcW w:w="1557" w:type="dxa"/>
          </w:tcPr>
          <w:p w:rsidR="008C3C29" w:rsidRPr="00EA4641" w:rsidRDefault="002A1D5F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A4641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723,51</w:t>
            </w:r>
          </w:p>
        </w:tc>
      </w:tr>
    </w:tbl>
    <w:p w:rsidR="008C3C29" w:rsidRPr="00965423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8C3C29" w:rsidRPr="00965423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96542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4.2 Záväzky</w:t>
      </w:r>
    </w:p>
    <w:p w:rsidR="008C3C29" w:rsidRPr="00965423" w:rsidRDefault="008C3C29" w:rsidP="008C3C2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tbl>
      <w:tblPr>
        <w:tblW w:w="82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557"/>
        <w:gridCol w:w="1557"/>
      </w:tblGrid>
      <w:tr w:rsidR="008C3C29" w:rsidRPr="00965423" w:rsidTr="000C67FF">
        <w:tc>
          <w:tcPr>
            <w:tcW w:w="5103" w:type="dxa"/>
          </w:tcPr>
          <w:p w:rsidR="008C3C29" w:rsidRPr="00965423" w:rsidRDefault="008C3C29" w:rsidP="008C3C29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Záväzky</w:t>
            </w:r>
          </w:p>
        </w:tc>
        <w:tc>
          <w:tcPr>
            <w:tcW w:w="1557" w:type="dxa"/>
          </w:tcPr>
          <w:p w:rsidR="008C3C29" w:rsidRPr="00965423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Stav</w:t>
            </w:r>
          </w:p>
          <w:p w:rsidR="008C3C29" w:rsidRPr="00965423" w:rsidRDefault="008C3C29" w:rsidP="009654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31.12 201</w:t>
            </w:r>
            <w:r w:rsidR="00906F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557" w:type="dxa"/>
          </w:tcPr>
          <w:p w:rsidR="008C3C29" w:rsidRPr="00965423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Stav</w:t>
            </w:r>
          </w:p>
          <w:p w:rsidR="008C3C29" w:rsidRPr="00965423" w:rsidRDefault="00906F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k 31.12 2016</w:t>
            </w:r>
          </w:p>
        </w:tc>
      </w:tr>
      <w:tr w:rsidR="008C3C29" w:rsidRPr="00965423" w:rsidTr="000C67FF">
        <w:tc>
          <w:tcPr>
            <w:tcW w:w="5103" w:type="dxa"/>
          </w:tcPr>
          <w:p w:rsidR="008C3C29" w:rsidRPr="00965423" w:rsidRDefault="008C3C29" w:rsidP="008C3C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Záväzky do lehoty splatnosti  </w:t>
            </w:r>
          </w:p>
        </w:tc>
        <w:tc>
          <w:tcPr>
            <w:tcW w:w="1557" w:type="dxa"/>
          </w:tcPr>
          <w:p w:rsidR="00FE616C" w:rsidRPr="005D1DCB" w:rsidRDefault="00906F29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6 343,13</w:t>
            </w:r>
          </w:p>
        </w:tc>
        <w:tc>
          <w:tcPr>
            <w:tcW w:w="1557" w:type="dxa"/>
          </w:tcPr>
          <w:p w:rsidR="008C3C29" w:rsidRPr="005D1DCB" w:rsidRDefault="00E12298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7 958,26</w:t>
            </w:r>
          </w:p>
        </w:tc>
      </w:tr>
      <w:tr w:rsidR="008C3C29" w:rsidRPr="00965423" w:rsidTr="000C67FF">
        <w:tc>
          <w:tcPr>
            <w:tcW w:w="5103" w:type="dxa"/>
          </w:tcPr>
          <w:p w:rsidR="008C3C29" w:rsidRPr="00965423" w:rsidRDefault="008C3C29" w:rsidP="008C3C2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96542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Záväzky po lehote splatnosti  </w:t>
            </w:r>
          </w:p>
        </w:tc>
        <w:tc>
          <w:tcPr>
            <w:tcW w:w="1557" w:type="dxa"/>
          </w:tcPr>
          <w:p w:rsidR="008C3C29" w:rsidRPr="00965423" w:rsidRDefault="00FE616C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557" w:type="dxa"/>
          </w:tcPr>
          <w:p w:rsidR="008C3C29" w:rsidRPr="00965423" w:rsidRDefault="00FE616C" w:rsidP="001E635F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</w:tr>
    </w:tbl>
    <w:p w:rsidR="008C3C29" w:rsidRPr="00965423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sk-SK"/>
        </w:rPr>
      </w:pPr>
    </w:p>
    <w:p w:rsidR="008C3C29" w:rsidRPr="002262DA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2262D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5. Hospodársky výsledok v celých eurách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549"/>
        <w:gridCol w:w="1494"/>
        <w:gridCol w:w="1580"/>
        <w:gridCol w:w="1497"/>
      </w:tblGrid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Názov</w:t>
            </w:r>
          </w:p>
        </w:tc>
        <w:tc>
          <w:tcPr>
            <w:tcW w:w="1549" w:type="dxa"/>
          </w:tcPr>
          <w:p w:rsidR="008C3C29" w:rsidRPr="00C0678E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lang w:eastAsia="sk-SK"/>
              </w:rPr>
              <w:t>Skutočnosť</w:t>
            </w:r>
          </w:p>
          <w:p w:rsidR="008C3C29" w:rsidRPr="00C0678E" w:rsidRDefault="008C3C29" w:rsidP="001E63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lang w:eastAsia="sk-SK"/>
              </w:rPr>
              <w:t>k 31.12. 201</w:t>
            </w:r>
            <w:r w:rsidR="001E635F">
              <w:rPr>
                <w:rFonts w:ascii="Times New Roman" w:eastAsia="Times New Roman" w:hAnsi="Times New Roman" w:cs="Times New Roman"/>
                <w:b/>
                <w:lang w:eastAsia="sk-SK"/>
              </w:rPr>
              <w:t>5</w:t>
            </w:r>
          </w:p>
        </w:tc>
        <w:tc>
          <w:tcPr>
            <w:tcW w:w="1494" w:type="dxa"/>
          </w:tcPr>
          <w:p w:rsidR="008C3C29" w:rsidRPr="00ED61FA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b/>
                <w:lang w:eastAsia="sk-SK"/>
              </w:rPr>
              <w:t>Skutočnosť</w:t>
            </w:r>
          </w:p>
          <w:p w:rsidR="008C3C29" w:rsidRPr="00ED61FA" w:rsidRDefault="008C3C29" w:rsidP="00DC6E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b/>
                <w:lang w:eastAsia="sk-SK"/>
              </w:rPr>
              <w:t>k 31.12.201</w:t>
            </w:r>
            <w:r w:rsidR="00DC6ECD">
              <w:rPr>
                <w:rFonts w:ascii="Times New Roman" w:eastAsia="Times New Roman" w:hAnsi="Times New Roman" w:cs="Times New Roman"/>
                <w:b/>
                <w:lang w:eastAsia="sk-SK"/>
              </w:rPr>
              <w:t>6</w:t>
            </w:r>
          </w:p>
        </w:tc>
        <w:tc>
          <w:tcPr>
            <w:tcW w:w="1580" w:type="dxa"/>
          </w:tcPr>
          <w:p w:rsidR="008C3C29" w:rsidRPr="00ED61FA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b/>
                <w:lang w:eastAsia="sk-SK"/>
              </w:rPr>
              <w:t>Predpoklad</w:t>
            </w:r>
          </w:p>
          <w:p w:rsidR="008C3C29" w:rsidRPr="00ED61FA" w:rsidRDefault="008C3C29" w:rsidP="00EE7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b/>
                <w:lang w:eastAsia="sk-SK"/>
              </w:rPr>
              <w:t>rok 201</w:t>
            </w:r>
            <w:r w:rsidR="00EE7185">
              <w:rPr>
                <w:rFonts w:ascii="Times New Roman" w:eastAsia="Times New Roman" w:hAnsi="Times New Roman" w:cs="Times New Roman"/>
                <w:b/>
                <w:lang w:eastAsia="sk-SK"/>
              </w:rPr>
              <w:t>7</w:t>
            </w:r>
          </w:p>
        </w:tc>
        <w:tc>
          <w:tcPr>
            <w:tcW w:w="1497" w:type="dxa"/>
          </w:tcPr>
          <w:p w:rsidR="008C3C29" w:rsidRPr="00ED61FA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b/>
                <w:lang w:eastAsia="sk-SK"/>
              </w:rPr>
              <w:t>Predpoklad</w:t>
            </w:r>
          </w:p>
          <w:p w:rsidR="008C3C29" w:rsidRPr="00ED61FA" w:rsidRDefault="00ED61FA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b/>
                <w:lang w:eastAsia="sk-SK"/>
              </w:rPr>
              <w:t>rok 201</w:t>
            </w:r>
            <w:r w:rsidR="00EE7185">
              <w:rPr>
                <w:rFonts w:ascii="Times New Roman" w:eastAsia="Times New Roman" w:hAnsi="Times New Roman" w:cs="Times New Roman"/>
                <w:b/>
                <w:lang w:eastAsia="sk-SK"/>
              </w:rPr>
              <w:t>8</w:t>
            </w:r>
          </w:p>
          <w:p w:rsidR="008C3C29" w:rsidRPr="00ED61FA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Náklady</w:t>
            </w:r>
          </w:p>
        </w:tc>
        <w:tc>
          <w:tcPr>
            <w:tcW w:w="1549" w:type="dxa"/>
          </w:tcPr>
          <w:p w:rsidR="008C3C29" w:rsidRPr="005B223F" w:rsidRDefault="00FE616C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B2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1E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23 006,74</w:t>
            </w:r>
          </w:p>
        </w:tc>
        <w:tc>
          <w:tcPr>
            <w:tcW w:w="1494" w:type="dxa"/>
          </w:tcPr>
          <w:p w:rsidR="008C3C29" w:rsidRPr="005B223F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133 947,63</w:t>
            </w:r>
          </w:p>
        </w:tc>
        <w:tc>
          <w:tcPr>
            <w:tcW w:w="1580" w:type="dxa"/>
          </w:tcPr>
          <w:p w:rsidR="008C3C29" w:rsidRPr="005B223F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B2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</w:t>
            </w:r>
            <w:r w:rsidR="00EE718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33 947,63</w:t>
            </w:r>
          </w:p>
        </w:tc>
        <w:tc>
          <w:tcPr>
            <w:tcW w:w="1497" w:type="dxa"/>
          </w:tcPr>
          <w:p w:rsidR="008C3C29" w:rsidRPr="005B223F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133 947,63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50 – Spotrebované nákupy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11 886,17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11 451,36</w:t>
            </w:r>
          </w:p>
        </w:tc>
        <w:tc>
          <w:tcPr>
            <w:tcW w:w="1580" w:type="dxa"/>
          </w:tcPr>
          <w:p w:rsidR="008C3C29" w:rsidRPr="00ED61FA" w:rsidRDefault="00ED61FA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</w:t>
            </w:r>
            <w:r w:rsidR="00EE71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451,36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11 451,36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lastRenderedPageBreak/>
              <w:t>51 – Služby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23 702,91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26 597,35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26 597,35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26 597,35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52 – Osobné náklady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73 303,64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80 803,81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80 803,81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80 803,81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53 – Služby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0,70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356,48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356,48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356,48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54 – Ostatné náklady na prevádzkovú činnosť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211,58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563,77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563,77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563,77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55 – Odpisy, rezervy a OP z prevádzkovej a finančnej činnosti a zúčtovanie časového rozlíšenia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12 198,24</w:t>
            </w:r>
          </w:p>
        </w:tc>
        <w:tc>
          <w:tcPr>
            <w:tcW w:w="1494" w:type="dxa"/>
          </w:tcPr>
          <w:p w:rsidR="008C3C29" w:rsidRPr="00ED61FA" w:rsidRDefault="00ED61FA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</w:t>
            </w:r>
            <w:r w:rsidR="00DC6EC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 932,55</w:t>
            </w:r>
          </w:p>
        </w:tc>
        <w:tc>
          <w:tcPr>
            <w:tcW w:w="1580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12 932,55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12 932,55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56 – Finančné náklady</w:t>
            </w:r>
          </w:p>
        </w:tc>
        <w:tc>
          <w:tcPr>
            <w:tcW w:w="1549" w:type="dxa"/>
          </w:tcPr>
          <w:p w:rsidR="008C3C29" w:rsidRPr="00C0678E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1 703,50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1 242,31</w:t>
            </w:r>
          </w:p>
        </w:tc>
        <w:tc>
          <w:tcPr>
            <w:tcW w:w="1580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1 242,31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1 242,31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57 – Mimoriadne náklady</w:t>
            </w:r>
          </w:p>
        </w:tc>
        <w:tc>
          <w:tcPr>
            <w:tcW w:w="1549" w:type="dxa"/>
          </w:tcPr>
          <w:p w:rsidR="008C3C29" w:rsidRPr="00C0678E" w:rsidRDefault="008C3C29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8C3C29" w:rsidRPr="00ED61FA" w:rsidRDefault="008C3C29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80" w:type="dxa"/>
          </w:tcPr>
          <w:p w:rsidR="008C3C29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497" w:type="dxa"/>
          </w:tcPr>
          <w:p w:rsidR="008C3C29" w:rsidRPr="00ED61FA" w:rsidRDefault="00ED61FA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58 – Náklady na transfery a náklady z odvodov príjmov</w:t>
            </w:r>
          </w:p>
        </w:tc>
        <w:tc>
          <w:tcPr>
            <w:tcW w:w="1549" w:type="dxa"/>
          </w:tcPr>
          <w:p w:rsidR="008C3C29" w:rsidRPr="00C0678E" w:rsidRDefault="00DC6ECD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8C3C29" w:rsidRPr="00ED61FA" w:rsidRDefault="00ED61FA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80" w:type="dxa"/>
          </w:tcPr>
          <w:p w:rsidR="008C3C29" w:rsidRPr="00ED61FA" w:rsidRDefault="00ED61FA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7" w:type="dxa"/>
          </w:tcPr>
          <w:p w:rsidR="008C3C29" w:rsidRPr="00ED61FA" w:rsidRDefault="00ED61FA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59 – Dane z príjmov</w:t>
            </w:r>
          </w:p>
        </w:tc>
        <w:tc>
          <w:tcPr>
            <w:tcW w:w="1549" w:type="dxa"/>
          </w:tcPr>
          <w:p w:rsidR="008C3C29" w:rsidRPr="00ED61FA" w:rsidRDefault="008C3C29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8C3C29" w:rsidRPr="00ED61FA" w:rsidRDefault="008C3C29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80" w:type="dxa"/>
          </w:tcPr>
          <w:p w:rsidR="008C3C29" w:rsidRPr="00ED61FA" w:rsidRDefault="008C3C29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7" w:type="dxa"/>
          </w:tcPr>
          <w:p w:rsidR="008C3C29" w:rsidRPr="00ED61FA" w:rsidRDefault="008C3C29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Výnosy</w:t>
            </w:r>
          </w:p>
        </w:tc>
        <w:tc>
          <w:tcPr>
            <w:tcW w:w="1549" w:type="dxa"/>
          </w:tcPr>
          <w:p w:rsidR="008C3C29" w:rsidRPr="005B223F" w:rsidRDefault="00FE616C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5B223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12</w:t>
            </w:r>
            <w:r w:rsidR="001E635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1 823,32</w:t>
            </w:r>
          </w:p>
        </w:tc>
        <w:tc>
          <w:tcPr>
            <w:tcW w:w="1494" w:type="dxa"/>
          </w:tcPr>
          <w:p w:rsidR="008C3C29" w:rsidRPr="005B223F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137 814,44</w:t>
            </w:r>
          </w:p>
        </w:tc>
        <w:tc>
          <w:tcPr>
            <w:tcW w:w="1580" w:type="dxa"/>
          </w:tcPr>
          <w:p w:rsidR="008C3C29" w:rsidRPr="005B223F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137 814,44</w:t>
            </w:r>
          </w:p>
        </w:tc>
        <w:tc>
          <w:tcPr>
            <w:tcW w:w="1497" w:type="dxa"/>
          </w:tcPr>
          <w:p w:rsidR="008C3C29" w:rsidRPr="005B223F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137 814,44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60 – Tržby za vlastné výkony a tovar</w:t>
            </w:r>
          </w:p>
        </w:tc>
        <w:tc>
          <w:tcPr>
            <w:tcW w:w="1549" w:type="dxa"/>
          </w:tcPr>
          <w:p w:rsidR="008C3C29" w:rsidRPr="00ED61FA" w:rsidRDefault="008C3C29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 w:rsidR="00FE616C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48,20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48,20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48,20</w:t>
            </w:r>
          </w:p>
        </w:tc>
      </w:tr>
      <w:tr w:rsidR="00D55C41" w:rsidRPr="00965423" w:rsidTr="000C67FF">
        <w:tc>
          <w:tcPr>
            <w:tcW w:w="3348" w:type="dxa"/>
          </w:tcPr>
          <w:p w:rsidR="00FE616C" w:rsidRPr="00C0678E" w:rsidRDefault="00FE616C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61 – Zmena stavu vnútroorganizačných služieb</w:t>
            </w:r>
          </w:p>
        </w:tc>
        <w:tc>
          <w:tcPr>
            <w:tcW w:w="1549" w:type="dxa"/>
          </w:tcPr>
          <w:p w:rsidR="00FE616C" w:rsidRPr="00ED61FA" w:rsidRDefault="00FE616C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FE616C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80" w:type="dxa"/>
          </w:tcPr>
          <w:p w:rsidR="00FE616C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7" w:type="dxa"/>
          </w:tcPr>
          <w:p w:rsidR="00FE616C" w:rsidRPr="00ED61FA" w:rsidRDefault="00FE616C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</w:tr>
      <w:tr w:rsidR="00D55C41" w:rsidRPr="00965423" w:rsidTr="000C67FF">
        <w:tc>
          <w:tcPr>
            <w:tcW w:w="3348" w:type="dxa"/>
          </w:tcPr>
          <w:p w:rsidR="00FE616C" w:rsidRPr="00C0678E" w:rsidRDefault="00FE616C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62 – Aktivácia</w:t>
            </w:r>
          </w:p>
        </w:tc>
        <w:tc>
          <w:tcPr>
            <w:tcW w:w="1549" w:type="dxa"/>
          </w:tcPr>
          <w:p w:rsidR="00FE616C" w:rsidRPr="00ED61FA" w:rsidRDefault="00FE616C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FE616C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80" w:type="dxa"/>
          </w:tcPr>
          <w:p w:rsidR="00FE616C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7" w:type="dxa"/>
          </w:tcPr>
          <w:p w:rsidR="00FE616C" w:rsidRPr="00ED61FA" w:rsidRDefault="00FE616C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63 – Daňové a colné výnosy a výnosy z poplatkov</w:t>
            </w:r>
          </w:p>
        </w:tc>
        <w:tc>
          <w:tcPr>
            <w:tcW w:w="1549" w:type="dxa"/>
          </w:tcPr>
          <w:p w:rsidR="00C0678E" w:rsidRPr="00ED61FA" w:rsidRDefault="00C0678E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1E6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11 814,81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125 056,25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125 056,25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125 056,25</w:t>
            </w:r>
          </w:p>
        </w:tc>
      </w:tr>
      <w:tr w:rsidR="00D55C41" w:rsidRPr="00965423" w:rsidTr="000C67FF">
        <w:tc>
          <w:tcPr>
            <w:tcW w:w="3348" w:type="dxa"/>
          </w:tcPr>
          <w:p w:rsidR="00FE616C" w:rsidRPr="00C0678E" w:rsidRDefault="00FE616C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 – Ostatné výnosy</w:t>
            </w:r>
          </w:p>
        </w:tc>
        <w:tc>
          <w:tcPr>
            <w:tcW w:w="1549" w:type="dxa"/>
          </w:tcPr>
          <w:p w:rsidR="00FE616C" w:rsidRPr="00ED61FA" w:rsidRDefault="001E635F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0,00</w:t>
            </w:r>
          </w:p>
        </w:tc>
        <w:tc>
          <w:tcPr>
            <w:tcW w:w="1494" w:type="dxa"/>
          </w:tcPr>
          <w:p w:rsidR="00FE616C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641,10</w:t>
            </w:r>
          </w:p>
        </w:tc>
        <w:tc>
          <w:tcPr>
            <w:tcW w:w="1580" w:type="dxa"/>
          </w:tcPr>
          <w:p w:rsidR="00FE616C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641,10</w:t>
            </w:r>
          </w:p>
        </w:tc>
        <w:tc>
          <w:tcPr>
            <w:tcW w:w="1497" w:type="dxa"/>
          </w:tcPr>
          <w:p w:rsidR="00FE616C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641,10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65 – Zúčtovanie rezerv a OP z prevádzkovej a finančnej činnosti a zúčtovanie časového rozlíšenia</w:t>
            </w:r>
          </w:p>
        </w:tc>
        <w:tc>
          <w:tcPr>
            <w:tcW w:w="1549" w:type="dxa"/>
          </w:tcPr>
          <w:p w:rsidR="008C3C29" w:rsidRPr="00ED61FA" w:rsidRDefault="00385E0C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73,99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36,79</w:t>
            </w:r>
          </w:p>
        </w:tc>
        <w:tc>
          <w:tcPr>
            <w:tcW w:w="1580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36,79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36,79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66 – Finančné výnosy</w:t>
            </w:r>
          </w:p>
        </w:tc>
        <w:tc>
          <w:tcPr>
            <w:tcW w:w="1549" w:type="dxa"/>
          </w:tcPr>
          <w:p w:rsidR="008C3C29" w:rsidRPr="00ED61FA" w:rsidRDefault="00DC6ECD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4,36</w:t>
            </w:r>
          </w:p>
        </w:tc>
        <w:tc>
          <w:tcPr>
            <w:tcW w:w="1494" w:type="dxa"/>
          </w:tcPr>
          <w:p w:rsidR="008C3C29" w:rsidRPr="00ED61FA" w:rsidRDefault="00DC6ECD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0,13</w:t>
            </w:r>
          </w:p>
        </w:tc>
        <w:tc>
          <w:tcPr>
            <w:tcW w:w="1580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0,13</w:t>
            </w:r>
          </w:p>
        </w:tc>
        <w:tc>
          <w:tcPr>
            <w:tcW w:w="1497" w:type="dxa"/>
          </w:tcPr>
          <w:p w:rsidR="008C3C29" w:rsidRPr="00ED61FA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0,13</w:t>
            </w:r>
          </w:p>
        </w:tc>
      </w:tr>
      <w:tr w:rsidR="00D55C41" w:rsidRPr="00965423" w:rsidTr="000C67FF">
        <w:tc>
          <w:tcPr>
            <w:tcW w:w="3348" w:type="dxa"/>
          </w:tcPr>
          <w:p w:rsidR="00FE616C" w:rsidRPr="00C0678E" w:rsidRDefault="00FE616C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67 – Mimoriadne výnosy</w:t>
            </w:r>
          </w:p>
        </w:tc>
        <w:tc>
          <w:tcPr>
            <w:tcW w:w="1549" w:type="dxa"/>
          </w:tcPr>
          <w:p w:rsidR="00FE616C" w:rsidRPr="00ED61FA" w:rsidRDefault="00FE616C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4" w:type="dxa"/>
          </w:tcPr>
          <w:p w:rsidR="00FE616C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580" w:type="dxa"/>
          </w:tcPr>
          <w:p w:rsidR="00FE616C" w:rsidRPr="00ED61FA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  <w:tc>
          <w:tcPr>
            <w:tcW w:w="1497" w:type="dxa"/>
          </w:tcPr>
          <w:p w:rsidR="00FE616C" w:rsidRPr="00ED61FA" w:rsidRDefault="00FE616C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ED61FA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,00</w:t>
            </w:r>
          </w:p>
        </w:tc>
      </w:tr>
      <w:tr w:rsidR="00D55C41" w:rsidRPr="00965423" w:rsidTr="000C67FF">
        <w:tc>
          <w:tcPr>
            <w:tcW w:w="3348" w:type="dxa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69 – Výnosy z transferov a rozpočtových príjmov v obciach, VÚC a v RO a PO zriadených obcou alebo VÚC</w:t>
            </w:r>
          </w:p>
        </w:tc>
        <w:tc>
          <w:tcPr>
            <w:tcW w:w="1549" w:type="dxa"/>
          </w:tcPr>
          <w:p w:rsidR="008C3C29" w:rsidRPr="00ED61FA" w:rsidRDefault="00DC6ECD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9 930,16</w:t>
            </w:r>
          </w:p>
        </w:tc>
        <w:tc>
          <w:tcPr>
            <w:tcW w:w="1494" w:type="dxa"/>
          </w:tcPr>
          <w:p w:rsidR="008C3C29" w:rsidRPr="00ED61FA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12 031,97</w:t>
            </w:r>
          </w:p>
        </w:tc>
        <w:tc>
          <w:tcPr>
            <w:tcW w:w="1580" w:type="dxa"/>
          </w:tcPr>
          <w:p w:rsidR="008C3C29" w:rsidRPr="005B223F" w:rsidRDefault="00FE616C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5B223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</w:t>
            </w:r>
            <w:r w:rsidR="00EE7185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2 031,97</w:t>
            </w:r>
          </w:p>
        </w:tc>
        <w:tc>
          <w:tcPr>
            <w:tcW w:w="1497" w:type="dxa"/>
          </w:tcPr>
          <w:p w:rsidR="008C3C29" w:rsidRPr="005B223F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12 031,97</w:t>
            </w:r>
          </w:p>
        </w:tc>
      </w:tr>
      <w:tr w:rsidR="00D55C41" w:rsidRPr="00965423" w:rsidTr="004E6DD6">
        <w:tc>
          <w:tcPr>
            <w:tcW w:w="3348" w:type="dxa"/>
            <w:shd w:val="clear" w:color="auto" w:fill="BFBFBF" w:themeFill="background1" w:themeFillShade="BF"/>
          </w:tcPr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Hospodársky výsledok</w:t>
            </w:r>
          </w:p>
          <w:p w:rsidR="008C3C29" w:rsidRPr="00C0678E" w:rsidRDefault="008C3C29" w:rsidP="008C3C2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0678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/ + kladný HV, - záporný HV /</w:t>
            </w:r>
          </w:p>
        </w:tc>
        <w:tc>
          <w:tcPr>
            <w:tcW w:w="1549" w:type="dxa"/>
            <w:shd w:val="clear" w:color="auto" w:fill="BFBFBF" w:themeFill="background1" w:themeFillShade="BF"/>
          </w:tcPr>
          <w:p w:rsidR="008C3C29" w:rsidRPr="00FE616C" w:rsidRDefault="00C0678E" w:rsidP="00DC6ECD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 w:rsidRPr="00FE61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-</w:t>
            </w:r>
            <w:r w:rsidR="00DC6E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1183,42</w:t>
            </w:r>
          </w:p>
        </w:tc>
        <w:tc>
          <w:tcPr>
            <w:tcW w:w="1494" w:type="dxa"/>
            <w:shd w:val="clear" w:color="auto" w:fill="BFBFBF" w:themeFill="background1" w:themeFillShade="BF"/>
          </w:tcPr>
          <w:p w:rsidR="008C3C29" w:rsidRPr="00FE616C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3 866,81</w:t>
            </w:r>
          </w:p>
        </w:tc>
        <w:tc>
          <w:tcPr>
            <w:tcW w:w="1580" w:type="dxa"/>
            <w:shd w:val="clear" w:color="auto" w:fill="BFBFBF" w:themeFill="background1" w:themeFillShade="BF"/>
          </w:tcPr>
          <w:p w:rsidR="008C3C29" w:rsidRPr="005B223F" w:rsidRDefault="00EE7185" w:rsidP="00EE7185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3 866,81</w:t>
            </w:r>
          </w:p>
        </w:tc>
        <w:tc>
          <w:tcPr>
            <w:tcW w:w="1497" w:type="dxa"/>
            <w:shd w:val="clear" w:color="auto" w:fill="BFBFBF" w:themeFill="background1" w:themeFillShade="BF"/>
          </w:tcPr>
          <w:p w:rsidR="008C3C29" w:rsidRPr="005B223F" w:rsidRDefault="00D55C41" w:rsidP="00D55C4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k-SK"/>
              </w:rPr>
              <w:t>3 866,81</w:t>
            </w:r>
          </w:p>
        </w:tc>
      </w:tr>
    </w:tbl>
    <w:p w:rsidR="008C3C29" w:rsidRPr="00965423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8C3C29" w:rsidRPr="00ED61FA" w:rsidRDefault="00ED61FA" w:rsidP="00ED61F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8C3C29" w:rsidRPr="00ED61FA">
        <w:rPr>
          <w:rFonts w:ascii="Times New Roman" w:eastAsia="Times New Roman" w:hAnsi="Times New Roman" w:cs="Times New Roman"/>
          <w:sz w:val="24"/>
          <w:szCs w:val="24"/>
          <w:lang w:eastAsia="sk-SK"/>
        </w:rPr>
        <w:t>Hospodársky výsledok /</w:t>
      </w:r>
      <w:r w:rsidR="008C3C29" w:rsidRPr="00D55C41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kladný</w:t>
      </w:r>
      <w:r w:rsidR="008C3C29" w:rsidRPr="00ED61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8C3C29" w:rsidRPr="00D55C41">
        <w:rPr>
          <w:rFonts w:ascii="Times New Roman" w:eastAsia="Times New Roman" w:hAnsi="Times New Roman" w:cs="Times New Roman"/>
          <w:sz w:val="24"/>
          <w:szCs w:val="24"/>
          <w:lang w:eastAsia="sk-SK"/>
        </w:rPr>
        <w:t>záporný</w:t>
      </w:r>
      <w:r w:rsidR="008C3C29" w:rsidRPr="00ED61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/ v sume </w:t>
      </w:r>
      <w:r w:rsidR="00D55C4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3 866,81</w:t>
      </w:r>
      <w:r w:rsidR="008C3C29" w:rsidRPr="00ED61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€ bol zúčtovaný na účet 428 – </w:t>
      </w:r>
      <w:proofErr w:type="spellStart"/>
      <w:r w:rsidR="008C3C29" w:rsidRPr="00ED61FA">
        <w:rPr>
          <w:rFonts w:ascii="Times New Roman" w:eastAsia="Times New Roman" w:hAnsi="Times New Roman" w:cs="Times New Roman"/>
          <w:sz w:val="24"/>
          <w:szCs w:val="24"/>
          <w:lang w:eastAsia="sk-SK"/>
        </w:rPr>
        <w:t>Nevysporiadaný</w:t>
      </w:r>
      <w:proofErr w:type="spellEnd"/>
      <w:r w:rsidR="008C3C29" w:rsidRPr="00ED61F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výsledok hospodárenia minulých rokov.</w:t>
      </w:r>
    </w:p>
    <w:p w:rsidR="008C55B3" w:rsidRDefault="008C55B3" w:rsidP="008C55B3">
      <w:pPr>
        <w:tabs>
          <w:tab w:val="right" w:pos="5580"/>
        </w:tabs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5B223F" w:rsidRPr="00EA4641" w:rsidRDefault="002B7D83" w:rsidP="002B7D83">
      <w:pPr>
        <w:tabs>
          <w:tab w:val="right" w:pos="558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EA4641">
        <w:rPr>
          <w:rFonts w:ascii="Times New Roman" w:eastAsia="Times New Roman" w:hAnsi="Times New Roman" w:cs="Times New Roman"/>
          <w:sz w:val="24"/>
          <w:szCs w:val="24"/>
          <w:lang w:eastAsia="sk-SK"/>
        </w:rPr>
        <w:t>Obec Hričovské Podhradie nevynaložila v roku 2016 žiadne náklady na výskum a vývoj.</w:t>
      </w:r>
    </w:p>
    <w:p w:rsidR="002B7D83" w:rsidRDefault="002B7D83" w:rsidP="008C55B3">
      <w:pPr>
        <w:tabs>
          <w:tab w:val="right" w:pos="5580"/>
        </w:tabs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E81" w:rsidRDefault="00651E81" w:rsidP="008C55B3">
      <w:pPr>
        <w:tabs>
          <w:tab w:val="right" w:pos="5580"/>
        </w:tabs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651E81" w:rsidRPr="00EA4641" w:rsidRDefault="00651E81" w:rsidP="008C55B3">
      <w:pPr>
        <w:tabs>
          <w:tab w:val="right" w:pos="5580"/>
        </w:tabs>
        <w:spacing w:after="0" w:line="240" w:lineRule="auto"/>
        <w:ind w:left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C3C29" w:rsidRPr="00ED61FA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ED61FA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lastRenderedPageBreak/>
        <w:t xml:space="preserve">6. Ostatné  dôležité informácie </w:t>
      </w:r>
    </w:p>
    <w:p w:rsidR="006F198B" w:rsidRDefault="006F198B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ED61FA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ED61FA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6.1 Prijaté granty a transfery </w:t>
      </w:r>
    </w:p>
    <w:p w:rsidR="008C3C29" w:rsidRDefault="004402D3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8C3C29" w:rsidRPr="004E6DD6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201</w:t>
      </w:r>
      <w:r w:rsidR="00D55C41"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C3C29" w:rsidRPr="004E6D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obec prijala nasledovné granty</w:t>
      </w:r>
      <w:r w:rsidR="00D55C41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8C3C29" w:rsidRPr="004E6D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transfery</w:t>
      </w:r>
      <w:r w:rsidR="00CD27CF" w:rsidRPr="004E6DD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 dary</w:t>
      </w:r>
      <w:r w:rsidR="008C3C29" w:rsidRPr="004E6DD6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D55C41" w:rsidRDefault="00D55C41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D55C41" w:rsidRPr="00AE2DD2" w:rsidTr="00651E81">
        <w:tc>
          <w:tcPr>
            <w:tcW w:w="9212" w:type="dxa"/>
            <w:shd w:val="clear" w:color="auto" w:fill="BFBFBF" w:themeFill="background1" w:themeFillShade="BF"/>
          </w:tcPr>
          <w:p w:rsidR="00D55C41" w:rsidRPr="00AE2DD2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P.č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.     Poskytovateľ dotácie                    Suma v eurách               Účel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      Ministerstvo financií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520,98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voľby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OÚ, odbor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životného  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na úsek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starostlivosti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</w:p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prostredia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34,05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o životné  prostredie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3.        Obvodný úrad – krízové</w:t>
            </w:r>
          </w:p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riadenie       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na ošetrenie materiálu CO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4.        Ministerstvo vnútra SR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164,32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na hlásenie pobytu občanov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Okresný úrad       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814,00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íspevok na výchovu  </w:t>
            </w:r>
          </w:p>
          <w:p w:rsidR="00D55C41" w:rsidRPr="00FF7985" w:rsidRDefault="00D55C41" w:rsidP="00D55C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Odbor školstva                                                                    a vzdelávanie 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Žilina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15,00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hmotná núdza - stravovanie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Žilina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3 943,21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mzdy pracovník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v rámci   </w:t>
            </w:r>
          </w:p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projektov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ÚPSVaR</w:t>
            </w:r>
            <w:proofErr w:type="spellEnd"/>
          </w:p>
        </w:tc>
      </w:tr>
      <w:tr w:rsidR="00D55C41" w:rsidRPr="00FF7985" w:rsidTr="00651E81">
        <w:tc>
          <w:tcPr>
            <w:tcW w:w="9212" w:type="dxa"/>
          </w:tcPr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        Nadácia Spoločne pre región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1 584,01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2% daní  pre 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MŠ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  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Min.dopravy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, výstavby a </w:t>
            </w:r>
            <w:proofErr w:type="spellStart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>reg.rozvoja</w:t>
            </w:r>
            <w:proofErr w:type="spellEnd"/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354,24</w:t>
            </w:r>
            <w:r w:rsidRPr="00FF79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pozemné komunikácie</w:t>
            </w:r>
          </w:p>
        </w:tc>
      </w:tr>
      <w:tr w:rsidR="00D55C41" w:rsidRPr="00FF7985" w:rsidTr="00651E81">
        <w:tc>
          <w:tcPr>
            <w:tcW w:w="9212" w:type="dxa"/>
          </w:tcPr>
          <w:p w:rsidR="00D55C41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   Dobrovoľná požiarna ochrana SR            700,00               účelovo viazaná pre potreby  </w:t>
            </w:r>
          </w:p>
          <w:p w:rsidR="00D55C41" w:rsidRPr="00FF7985" w:rsidRDefault="00D55C41" w:rsidP="00651E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a akcieschopnosť DHZ           </w:t>
            </w:r>
          </w:p>
        </w:tc>
      </w:tr>
    </w:tbl>
    <w:p w:rsidR="008C3C29" w:rsidRPr="00965423" w:rsidRDefault="008C3C29" w:rsidP="008C3C29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A716A8" w:rsidRDefault="00CD27CF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Granty,</w:t>
      </w:r>
      <w:r w:rsidR="008C3C29" w:rsidRPr="00CD27C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transfery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a dary</w:t>
      </w:r>
      <w:r w:rsidR="008C3C29" w:rsidRPr="00CD27CF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 xml:space="preserve"> boli účelovo viazané a boli použité v súlade s ich účelom</w:t>
      </w:r>
      <w:r w:rsidR="004402D3"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  <w:t>. Obec k 31.12.2016 eviduje zostatok nepoužitých finančných prostriedkov  z Nadácie Spoločne pre región – 2% daní pre materskú školu vo výške 620,81 eur, ktoré budú vyčerpané v roku 2017.</w:t>
      </w:r>
    </w:p>
    <w:p w:rsidR="004402D3" w:rsidRPr="004402D3" w:rsidRDefault="004402D3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p w:rsid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D27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6.2 Poskytnuté dotácie </w:t>
      </w:r>
    </w:p>
    <w:p w:rsidR="008C3C29" w:rsidRPr="00CD27CF" w:rsidRDefault="004402D3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8C3C29" w:rsidRPr="00CD27CF">
        <w:rPr>
          <w:rFonts w:ascii="Times New Roman" w:eastAsia="Times New Roman" w:hAnsi="Times New Roman" w:cs="Times New Roman"/>
          <w:sz w:val="24"/>
          <w:szCs w:val="24"/>
          <w:lang w:eastAsia="sk-SK"/>
        </w:rPr>
        <w:t>V roku 201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6</w:t>
      </w:r>
      <w:r w:rsidR="008C3C29" w:rsidRPr="00CD27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obec </w:t>
      </w:r>
      <w:r w:rsidR="00CD27CF" w:rsidRPr="00CD27CF">
        <w:rPr>
          <w:rFonts w:ascii="Times New Roman" w:eastAsia="Times New Roman" w:hAnsi="Times New Roman" w:cs="Times New Roman"/>
          <w:sz w:val="24"/>
          <w:szCs w:val="24"/>
          <w:lang w:eastAsia="sk-SK"/>
        </w:rPr>
        <w:t>ne</w:t>
      </w:r>
      <w:r w:rsidR="008C3C29" w:rsidRPr="00CD27C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poskytla zo svojho rozpočtu dotácie v zmysle VZN č. 1/2006    o poskytovaní dotácií z rozpočtu obce: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4860"/>
        <w:gridCol w:w="2340"/>
      </w:tblGrid>
      <w:tr w:rsidR="00CD27CF" w:rsidRPr="00CD27CF" w:rsidTr="000C67FF">
        <w:tc>
          <w:tcPr>
            <w:tcW w:w="1728" w:type="dxa"/>
          </w:tcPr>
          <w:p w:rsidR="008C3C29" w:rsidRPr="00CD27CF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b/>
                <w:lang w:eastAsia="sk-SK"/>
              </w:rPr>
              <w:t>Prijímateľ dotácie</w:t>
            </w:r>
          </w:p>
        </w:tc>
        <w:tc>
          <w:tcPr>
            <w:tcW w:w="4860" w:type="dxa"/>
          </w:tcPr>
          <w:p w:rsidR="008C3C29" w:rsidRPr="00CD27CF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b/>
                <w:lang w:eastAsia="sk-SK"/>
              </w:rPr>
              <w:t>Účelové určenie dotácie</w:t>
            </w:r>
          </w:p>
        </w:tc>
        <w:tc>
          <w:tcPr>
            <w:tcW w:w="2340" w:type="dxa"/>
          </w:tcPr>
          <w:p w:rsidR="008C3C29" w:rsidRPr="00CD27CF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b/>
                <w:lang w:eastAsia="sk-SK"/>
              </w:rPr>
              <w:t>Suma poskytnutých</w:t>
            </w:r>
          </w:p>
          <w:p w:rsidR="008C3C29" w:rsidRPr="00CD27CF" w:rsidRDefault="008C3C29" w:rsidP="008C3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b/>
                <w:lang w:eastAsia="sk-SK"/>
              </w:rPr>
              <w:t xml:space="preserve"> prostriedkov v €</w:t>
            </w:r>
          </w:p>
        </w:tc>
      </w:tr>
      <w:tr w:rsidR="00CD27CF" w:rsidRPr="00CD27CF" w:rsidTr="000C67FF">
        <w:tc>
          <w:tcPr>
            <w:tcW w:w="1728" w:type="dxa"/>
          </w:tcPr>
          <w:p w:rsidR="008C3C29" w:rsidRPr="00CD27CF" w:rsidRDefault="00CD27CF" w:rsidP="00CD27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4860" w:type="dxa"/>
          </w:tcPr>
          <w:p w:rsidR="008C3C29" w:rsidRPr="00CD27CF" w:rsidRDefault="00CD27CF" w:rsidP="00CD27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  <w:tc>
          <w:tcPr>
            <w:tcW w:w="2340" w:type="dxa"/>
          </w:tcPr>
          <w:p w:rsidR="008C3C29" w:rsidRPr="00CD27CF" w:rsidRDefault="00CD27CF" w:rsidP="00CD27CF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CD27C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-</w:t>
            </w:r>
          </w:p>
        </w:tc>
      </w:tr>
    </w:tbl>
    <w:p w:rsidR="004402D3" w:rsidRDefault="004402D3" w:rsidP="00CD2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D27CF" w:rsidRPr="00A77532" w:rsidRDefault="004402D3" w:rsidP="00CD27C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K 31.12.2016 obec eviduje zo dňa 30.9.2016 jednu žiadosť k poskytnutiu dotácie v mesiaci január 2017, ktorá bude vybavená v rozpočtovom roku 2017. </w:t>
      </w:r>
      <w:r w:rsidR="00CD27CF">
        <w:rPr>
          <w:rFonts w:ascii="Times New Roman" w:eastAsia="Times New Roman" w:hAnsi="Times New Roman" w:cs="Times New Roman"/>
          <w:sz w:val="24"/>
          <w:szCs w:val="24"/>
        </w:rPr>
        <w:t>Realizované transfery boli poskytnuté na členské príspevky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CD27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3C29" w:rsidRPr="00965423" w:rsidRDefault="008C3C29" w:rsidP="008C3C29">
      <w:pPr>
        <w:tabs>
          <w:tab w:val="left" w:pos="288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8C3C29" w:rsidRPr="00CD27CF" w:rsidRDefault="008C3C29" w:rsidP="008C3C29">
      <w:pPr>
        <w:tabs>
          <w:tab w:val="left" w:pos="288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CD27CF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6.3 Významné akcie v roku 201</w:t>
      </w:r>
      <w:r w:rsidR="004402D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</w:p>
    <w:p w:rsidR="008C3C29" w:rsidRPr="00CD27CF" w:rsidRDefault="008C3C29" w:rsidP="008C3C29">
      <w:pPr>
        <w:tabs>
          <w:tab w:val="left" w:pos="2880"/>
          <w:tab w:val="right" w:pos="882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CD27CF" w:rsidRDefault="00CD27CF" w:rsidP="00A7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Najvýznamnejšie </w:t>
      </w:r>
      <w:r w:rsidR="008C3C29" w:rsidRPr="00CD27CF">
        <w:rPr>
          <w:rFonts w:ascii="Times New Roman" w:hAnsi="Times New Roman" w:cs="Times New Roman"/>
          <w:sz w:val="24"/>
          <w:szCs w:val="24"/>
        </w:rPr>
        <w:t>akcie realizované v roku 201</w:t>
      </w:r>
      <w:r w:rsidR="004402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402D3" w:rsidRDefault="004402D3" w:rsidP="00A716A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27CF" w:rsidRPr="004402D3" w:rsidRDefault="004402D3" w:rsidP="004402D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D3">
        <w:rPr>
          <w:rFonts w:ascii="Times New Roman" w:hAnsi="Times New Roman" w:cs="Times New Roman"/>
          <w:sz w:val="24"/>
          <w:szCs w:val="24"/>
        </w:rPr>
        <w:t>vymaľovanie priestorov materskej školy</w:t>
      </w:r>
    </w:p>
    <w:p w:rsidR="008C3C29" w:rsidRPr="004402D3" w:rsidRDefault="004402D3" w:rsidP="004402D3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402D3">
        <w:rPr>
          <w:rFonts w:ascii="Times New Roman" w:hAnsi="Times New Roman" w:cs="Times New Roman"/>
          <w:sz w:val="24"/>
          <w:szCs w:val="24"/>
        </w:rPr>
        <w:t>vymaľovanie kaplnky</w:t>
      </w:r>
    </w:p>
    <w:p w:rsidR="00A716A8" w:rsidRDefault="00A716A8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sk-SK"/>
        </w:rPr>
      </w:pPr>
    </w:p>
    <w:p w:rsidR="008C3C29" w:rsidRPr="00A716A8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716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6.4 Predpokladaný budúci vývoj činnosti </w:t>
      </w:r>
    </w:p>
    <w:p w:rsidR="008C3C29" w:rsidRPr="00A716A8" w:rsidRDefault="008C3C29" w:rsidP="008C3C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>Predpokladané investičné akcie realizované v budúcich rokoch</w:t>
      </w:r>
      <w:r w:rsidR="004402D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4402D3" w:rsidRPr="004402D3" w:rsidRDefault="004402D3" w:rsidP="004402D3">
      <w:pPr>
        <w:pStyle w:val="Odsekzoznamu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rekonštrukcia budovy Telovýchovnej jednoty ( po majetkovo-právnom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vysporiadaní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:rsidR="004402D3" w:rsidRDefault="004402D3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C3C29" w:rsidRPr="00A716A8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A716A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6.5 Udalosti osobitného významu po skončení účtovného obdobia </w:t>
      </w:r>
    </w:p>
    <w:p w:rsidR="008C3C29" w:rsidRPr="00A716A8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 nezaznamenala žiadnu udalosť osobitného významu po skončení účtovného obdobia. </w:t>
      </w:r>
    </w:p>
    <w:p w:rsidR="008C3C29" w:rsidRPr="00965423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8C3C29" w:rsidRPr="00A716A8" w:rsidRDefault="008C3C29" w:rsidP="008C3C2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16A8">
        <w:rPr>
          <w:rFonts w:ascii="Times New Roman" w:hAnsi="Times New Roman" w:cs="Times New Roman"/>
          <w:b/>
          <w:sz w:val="24"/>
          <w:szCs w:val="24"/>
        </w:rPr>
        <w:t>6.6 Významné riziká a neistoty, ktorým je účtovná jednotka vystavená .</w:t>
      </w:r>
    </w:p>
    <w:p w:rsidR="008C3C29" w:rsidRPr="00A716A8" w:rsidRDefault="008C3C29" w:rsidP="008C3C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16A8">
        <w:rPr>
          <w:rFonts w:ascii="Times New Roman" w:hAnsi="Times New Roman" w:cs="Times New Roman"/>
          <w:sz w:val="24"/>
          <w:szCs w:val="24"/>
        </w:rPr>
        <w:t>Obec nevedie žiadny súdny spor .</w:t>
      </w:r>
    </w:p>
    <w:p w:rsidR="008C3C29" w:rsidRPr="00965423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8C3C29" w:rsidRPr="00A716A8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Vypracoval:    </w:t>
      </w:r>
      <w:r w:rsidR="00A716A8"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>Hulínová Miroslava</w:t>
      </w: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Predkladá: Jarmila Dobroňová</w:t>
      </w:r>
    </w:p>
    <w:p w:rsidR="008C3C29" w:rsidRPr="00965423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k-SK"/>
        </w:rPr>
      </w:pPr>
    </w:p>
    <w:p w:rsidR="008C3C29" w:rsidRPr="00A716A8" w:rsidRDefault="008C3C29" w:rsidP="008C3C2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Hričovskom Podhradí  dňa </w:t>
      </w:r>
      <w:r w:rsidR="004402D3">
        <w:rPr>
          <w:rFonts w:ascii="Times New Roman" w:eastAsia="Times New Roman" w:hAnsi="Times New Roman" w:cs="Times New Roman"/>
          <w:sz w:val="24"/>
          <w:szCs w:val="24"/>
          <w:lang w:eastAsia="sk-SK"/>
        </w:rPr>
        <w:t>09</w:t>
      </w: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402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03</w:t>
      </w: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4402D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A716A8">
        <w:rPr>
          <w:rFonts w:ascii="Times New Roman" w:eastAsia="Times New Roman" w:hAnsi="Times New Roman" w:cs="Times New Roman"/>
          <w:sz w:val="24"/>
          <w:szCs w:val="24"/>
          <w:lang w:eastAsia="sk-SK"/>
        </w:rPr>
        <w:t>201</w:t>
      </w:r>
      <w:r w:rsidR="004402D3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</w:p>
    <w:sectPr w:rsidR="008C3C29" w:rsidRPr="00A716A8" w:rsidSect="000C67FF">
      <w:footerReference w:type="even" r:id="rId10"/>
      <w:footerReference w:type="default" r:id="rId11"/>
      <w:pgSz w:w="11906" w:h="16838"/>
      <w:pgMar w:top="1417" w:right="1286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C6C" w:rsidRDefault="00B91C6C">
      <w:pPr>
        <w:spacing w:after="0" w:line="240" w:lineRule="auto"/>
      </w:pPr>
      <w:r>
        <w:separator/>
      </w:r>
    </w:p>
  </w:endnote>
  <w:endnote w:type="continuationSeparator" w:id="0">
    <w:p w:rsidR="00B91C6C" w:rsidRDefault="00B91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81" w:rsidRDefault="00651E81" w:rsidP="000C67F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651E81" w:rsidRDefault="00651E81" w:rsidP="000C67FF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E81" w:rsidRDefault="00651E81" w:rsidP="000C67FF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0F6312">
      <w:rPr>
        <w:rStyle w:val="slostrany"/>
        <w:noProof/>
      </w:rPr>
      <w:t>13</w:t>
    </w:r>
    <w:r>
      <w:rPr>
        <w:rStyle w:val="slostrany"/>
      </w:rPr>
      <w:fldChar w:fldCharType="end"/>
    </w:r>
  </w:p>
  <w:p w:rsidR="00651E81" w:rsidRDefault="00651E81" w:rsidP="000C67FF">
    <w:pPr>
      <w:pStyle w:val="Pta"/>
      <w:framePr w:wrap="around" w:vAnchor="text" w:hAnchor="margin" w:xAlign="right" w:y="1"/>
      <w:ind w:right="360"/>
      <w:rPr>
        <w:rStyle w:val="slostrany"/>
      </w:rPr>
    </w:pPr>
  </w:p>
  <w:p w:rsidR="00651E81" w:rsidRDefault="00651E81" w:rsidP="000C67FF">
    <w:pPr>
      <w:pStyle w:val="Pta"/>
      <w:framePr w:wrap="around" w:vAnchor="text" w:hAnchor="margin" w:xAlign="right" w:y="1"/>
      <w:rPr>
        <w:rStyle w:val="slostrany"/>
      </w:rPr>
    </w:pPr>
  </w:p>
  <w:p w:rsidR="00651E81" w:rsidRDefault="00651E81" w:rsidP="000C67FF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C6C" w:rsidRDefault="00B91C6C">
      <w:pPr>
        <w:spacing w:after="0" w:line="240" w:lineRule="auto"/>
      </w:pPr>
      <w:r>
        <w:separator/>
      </w:r>
    </w:p>
  </w:footnote>
  <w:footnote w:type="continuationSeparator" w:id="0">
    <w:p w:rsidR="00B91C6C" w:rsidRDefault="00B91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E1FF4"/>
    <w:multiLevelType w:val="singleLevel"/>
    <w:tmpl w:val="0405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7779FD"/>
    <w:multiLevelType w:val="singleLevel"/>
    <w:tmpl w:val="8FBCC95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54D08"/>
    <w:multiLevelType w:val="multilevel"/>
    <w:tmpl w:val="C42092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37B725D1"/>
    <w:multiLevelType w:val="hybridMultilevel"/>
    <w:tmpl w:val="C2E8F8EA"/>
    <w:lvl w:ilvl="0" w:tplc="CEDAFE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95E10D9"/>
    <w:multiLevelType w:val="hybridMultilevel"/>
    <w:tmpl w:val="21CE613A"/>
    <w:lvl w:ilvl="0" w:tplc="8FBCC95C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B90"/>
    <w:rsid w:val="00043074"/>
    <w:rsid w:val="000B5C29"/>
    <w:rsid w:val="000C67FF"/>
    <w:rsid w:val="000F6312"/>
    <w:rsid w:val="001513B6"/>
    <w:rsid w:val="00153A04"/>
    <w:rsid w:val="001E635F"/>
    <w:rsid w:val="001F2965"/>
    <w:rsid w:val="002262DA"/>
    <w:rsid w:val="002A1D5F"/>
    <w:rsid w:val="002B7D83"/>
    <w:rsid w:val="0031180D"/>
    <w:rsid w:val="00365B90"/>
    <w:rsid w:val="00370764"/>
    <w:rsid w:val="00385E0C"/>
    <w:rsid w:val="003C6B8B"/>
    <w:rsid w:val="00431D32"/>
    <w:rsid w:val="004402D3"/>
    <w:rsid w:val="004831A1"/>
    <w:rsid w:val="0049590C"/>
    <w:rsid w:val="004B2FDD"/>
    <w:rsid w:val="004E6DD6"/>
    <w:rsid w:val="00525C30"/>
    <w:rsid w:val="005462BA"/>
    <w:rsid w:val="005B223F"/>
    <w:rsid w:val="005B3497"/>
    <w:rsid w:val="005D1DCB"/>
    <w:rsid w:val="00622068"/>
    <w:rsid w:val="00651E81"/>
    <w:rsid w:val="00694AB7"/>
    <w:rsid w:val="006F198B"/>
    <w:rsid w:val="00716B9B"/>
    <w:rsid w:val="0076536D"/>
    <w:rsid w:val="00787FDB"/>
    <w:rsid w:val="0080236D"/>
    <w:rsid w:val="00817CA4"/>
    <w:rsid w:val="008271F0"/>
    <w:rsid w:val="00862605"/>
    <w:rsid w:val="00867C6E"/>
    <w:rsid w:val="008C0371"/>
    <w:rsid w:val="008C3C29"/>
    <w:rsid w:val="008C55B3"/>
    <w:rsid w:val="00906F29"/>
    <w:rsid w:val="00965423"/>
    <w:rsid w:val="009F2497"/>
    <w:rsid w:val="00A716A8"/>
    <w:rsid w:val="00A73318"/>
    <w:rsid w:val="00A96FF8"/>
    <w:rsid w:val="00AF34A1"/>
    <w:rsid w:val="00B91C6C"/>
    <w:rsid w:val="00BA3AC0"/>
    <w:rsid w:val="00BB4383"/>
    <w:rsid w:val="00BC7ADA"/>
    <w:rsid w:val="00BD6511"/>
    <w:rsid w:val="00C0678E"/>
    <w:rsid w:val="00CD27CF"/>
    <w:rsid w:val="00D13417"/>
    <w:rsid w:val="00D33A13"/>
    <w:rsid w:val="00D55C41"/>
    <w:rsid w:val="00DC6ECD"/>
    <w:rsid w:val="00E12298"/>
    <w:rsid w:val="00E62755"/>
    <w:rsid w:val="00EA4641"/>
    <w:rsid w:val="00ED61FA"/>
    <w:rsid w:val="00EE7185"/>
    <w:rsid w:val="00F700DC"/>
    <w:rsid w:val="00FC6D61"/>
    <w:rsid w:val="00FE314E"/>
    <w:rsid w:val="00FE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8C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3C29"/>
  </w:style>
  <w:style w:type="character" w:styleId="slostrany">
    <w:name w:val="page number"/>
    <w:basedOn w:val="Predvolenpsmoodseku"/>
    <w:rsid w:val="008C3C29"/>
  </w:style>
  <w:style w:type="table" w:styleId="Mriekatabuky">
    <w:name w:val="Table Grid"/>
    <w:basedOn w:val="Normlnatabuka"/>
    <w:rsid w:val="008C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C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7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402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semiHidden/>
    <w:unhideWhenUsed/>
    <w:rsid w:val="008C3C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8C3C29"/>
  </w:style>
  <w:style w:type="character" w:styleId="slostrany">
    <w:name w:val="page number"/>
    <w:basedOn w:val="Predvolenpsmoodseku"/>
    <w:rsid w:val="008C3C29"/>
  </w:style>
  <w:style w:type="table" w:styleId="Mriekatabuky">
    <w:name w:val="Table Grid"/>
    <w:basedOn w:val="Normlnatabuka"/>
    <w:rsid w:val="008C3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0C6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C67FF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4402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4D6A8-24D5-41D0-AC26-BE989BD8D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3895</Words>
  <Characters>22208</Characters>
  <Application>Microsoft Office Word</Application>
  <DocSecurity>0</DocSecurity>
  <Lines>185</Lines>
  <Paragraphs>52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5</cp:revision>
  <cp:lastPrinted>2017-04-04T09:40:00Z</cp:lastPrinted>
  <dcterms:created xsi:type="dcterms:W3CDTF">2017-04-04T09:12:00Z</dcterms:created>
  <dcterms:modified xsi:type="dcterms:W3CDTF">2017-04-04T09:40:00Z</dcterms:modified>
</cp:coreProperties>
</file>